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386BF8" w14:textId="77777777" w:rsidR="002E6267" w:rsidRPr="00737D16" w:rsidRDefault="002E6267" w:rsidP="002E6267">
      <w:pPr>
        <w:tabs>
          <w:tab w:val="left" w:pos="993"/>
        </w:tabs>
        <w:rPr>
          <w:rFonts w:ascii="Calibri" w:hAnsi="Calibri"/>
        </w:rPr>
      </w:pPr>
      <w:r w:rsidRPr="00737D16">
        <w:rPr>
          <w:rFonts w:ascii="Calibri" w:hAnsi="Calibri"/>
          <w:noProof/>
          <w:color w:val="7F7F7F" w:themeColor="text1" w:themeTint="80"/>
          <w:sz w:val="20"/>
          <w:szCs w:val="20"/>
          <w:lang w:eastAsia="fr-FR"/>
        </w:rPr>
        <w:drawing>
          <wp:inline distT="0" distB="0" distL="0" distR="0" wp14:anchorId="65CC5A8D" wp14:editId="6805A795">
            <wp:extent cx="572226" cy="582630"/>
            <wp:effectExtent l="25400" t="0" r="11974" b="0"/>
            <wp:docPr id="346385791" name="Picture 346385791" descr="Une image contenant symbol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385791" name="Image 2" descr="Une image contenant symbole, logo, Police, Graphiqu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538" cy="583966"/>
                    </a:xfrm>
                    <a:prstGeom prst="rect">
                      <a:avLst/>
                    </a:prstGeom>
                  </pic:spPr>
                </pic:pic>
              </a:graphicData>
            </a:graphic>
          </wp:inline>
        </w:drawing>
      </w:r>
    </w:p>
    <w:p w14:paraId="0792DE4A" w14:textId="77777777" w:rsidR="002E6267" w:rsidRPr="00737D16" w:rsidRDefault="002E6267" w:rsidP="002E6267">
      <w:pPr>
        <w:rPr>
          <w:rFonts w:ascii="Calibri" w:hAnsi="Calibri"/>
          <w:color w:val="7F7F7F" w:themeColor="text1" w:themeTint="80"/>
          <w:sz w:val="20"/>
          <w:szCs w:val="20"/>
        </w:rPr>
      </w:pPr>
    </w:p>
    <w:p w14:paraId="28668484" w14:textId="77777777" w:rsidR="002E6267" w:rsidRPr="00977C45" w:rsidRDefault="002E6267" w:rsidP="002E6267">
      <w:pPr>
        <w:pStyle w:val="Paragraphestandard"/>
        <w:spacing w:line="240" w:lineRule="auto"/>
        <w:rPr>
          <w:rFonts w:ascii="Calibri" w:hAnsi="Calibri" w:cs="Arial"/>
          <w:b/>
          <w:bCs/>
          <w:caps/>
          <w:color w:val="DABA6F"/>
          <w:spacing w:val="10"/>
          <w:sz w:val="26"/>
          <w:szCs w:val="26"/>
        </w:rPr>
      </w:pPr>
      <w:r w:rsidRPr="00977C45">
        <w:rPr>
          <w:rFonts w:ascii="Calibri" w:hAnsi="Calibri" w:cs="Arial"/>
          <w:b/>
          <w:bCs/>
          <w:color w:val="5B7687"/>
          <w:spacing w:val="10"/>
          <w:sz w:val="26"/>
          <w:szCs w:val="26"/>
        </w:rPr>
        <w:t xml:space="preserve">Judith </w:t>
      </w:r>
      <w:r w:rsidRPr="00977C45">
        <w:rPr>
          <w:rFonts w:ascii="Calibri" w:hAnsi="Calibri" w:cs="Arial"/>
          <w:b/>
          <w:bCs/>
          <w:caps/>
          <w:color w:val="5B7687"/>
          <w:spacing w:val="10"/>
          <w:sz w:val="26"/>
          <w:szCs w:val="26"/>
        </w:rPr>
        <w:t>Doutressoulle</w:t>
      </w:r>
    </w:p>
    <w:p w14:paraId="7FF6884D" w14:textId="77777777" w:rsidR="002E6267" w:rsidRDefault="002E6267" w:rsidP="002E6267">
      <w:pPr>
        <w:pStyle w:val="Paragraphestandard"/>
        <w:tabs>
          <w:tab w:val="left" w:pos="7655"/>
          <w:tab w:val="left" w:pos="9498"/>
        </w:tabs>
        <w:spacing w:line="240" w:lineRule="auto"/>
        <w:ind w:right="1840"/>
        <w:rPr>
          <w:rFonts w:ascii="Calibri" w:hAnsi="Calibri" w:cs="Arial"/>
          <w:color w:val="auto"/>
          <w:spacing w:val="2"/>
          <w:sz w:val="21"/>
          <w:szCs w:val="21"/>
        </w:rPr>
      </w:pPr>
      <w:r w:rsidRPr="00187D9F">
        <w:rPr>
          <w:rFonts w:ascii="Calibri" w:hAnsi="Calibri" w:cs="Arial"/>
          <w:caps/>
          <w:color w:val="868E95"/>
          <w:spacing w:val="2"/>
          <w:sz w:val="21"/>
          <w:szCs w:val="21"/>
        </w:rPr>
        <w:t>mandataire judiciaire</w:t>
      </w:r>
      <w:r w:rsidRPr="00187D9F">
        <w:rPr>
          <w:rFonts w:ascii="Calibri" w:hAnsi="Calibri" w:cs="Arial"/>
          <w:color w:val="auto"/>
          <w:spacing w:val="2"/>
          <w:sz w:val="21"/>
          <w:szCs w:val="21"/>
        </w:rPr>
        <w:t xml:space="preserve"> </w:t>
      </w:r>
    </w:p>
    <w:p w14:paraId="2FD7F5B3" w14:textId="77777777" w:rsidR="002E6267" w:rsidRPr="00977C45" w:rsidRDefault="002E6267" w:rsidP="002E6267">
      <w:pPr>
        <w:pStyle w:val="Paragraphestandard"/>
        <w:spacing w:before="120" w:line="240" w:lineRule="auto"/>
        <w:rPr>
          <w:rFonts w:ascii="Calibri" w:hAnsi="Calibri" w:cs="Arial"/>
          <w:b/>
          <w:bCs/>
          <w:caps/>
          <w:color w:val="DABA6F"/>
          <w:sz w:val="22"/>
          <w:szCs w:val="22"/>
        </w:rPr>
      </w:pPr>
      <w:r w:rsidRPr="00977C45">
        <w:rPr>
          <w:rFonts w:ascii="Calibri" w:hAnsi="Calibri" w:cs="Arial"/>
          <w:b/>
          <w:bCs/>
          <w:color w:val="5B7687"/>
          <w:sz w:val="22"/>
          <w:szCs w:val="22"/>
        </w:rPr>
        <w:t>Aude MARIE-</w:t>
      </w:r>
      <w:r w:rsidRPr="00977C45">
        <w:rPr>
          <w:rFonts w:ascii="Calibri" w:hAnsi="Calibri" w:cs="Arial"/>
          <w:b/>
          <w:bCs/>
          <w:caps/>
          <w:color w:val="5B7687"/>
          <w:sz w:val="22"/>
          <w:szCs w:val="22"/>
        </w:rPr>
        <w:t>Doutressoulle</w:t>
      </w:r>
    </w:p>
    <w:p w14:paraId="0AF993F2" w14:textId="77777777" w:rsidR="002E6267" w:rsidRPr="00977C45" w:rsidRDefault="002E6267" w:rsidP="002E6267">
      <w:pPr>
        <w:pStyle w:val="Paragraphestandard"/>
        <w:tabs>
          <w:tab w:val="left" w:pos="7655"/>
          <w:tab w:val="left" w:pos="9498"/>
        </w:tabs>
        <w:spacing w:line="240" w:lineRule="auto"/>
        <w:ind w:right="1840"/>
        <w:rPr>
          <w:rFonts w:ascii="Calibri" w:hAnsi="Calibri" w:cs="Arial"/>
          <w:color w:val="auto"/>
          <w:spacing w:val="2"/>
          <w:sz w:val="18"/>
          <w:szCs w:val="18"/>
        </w:rPr>
      </w:pPr>
      <w:r w:rsidRPr="00977C45">
        <w:rPr>
          <w:rFonts w:ascii="Calibri" w:hAnsi="Calibri" w:cs="Arial"/>
          <w:caps/>
          <w:color w:val="868E95"/>
          <w:spacing w:val="2"/>
          <w:sz w:val="18"/>
          <w:szCs w:val="18"/>
        </w:rPr>
        <w:t>mandataire judiciaire SALARIE</w:t>
      </w:r>
    </w:p>
    <w:p w14:paraId="23AD5C12" w14:textId="77777777" w:rsidR="002E6267" w:rsidRPr="00737D16" w:rsidRDefault="002E6267" w:rsidP="002E6267">
      <w:pPr>
        <w:pStyle w:val="Paragraphestandard"/>
        <w:tabs>
          <w:tab w:val="left" w:pos="7655"/>
          <w:tab w:val="left" w:pos="9498"/>
        </w:tabs>
        <w:spacing w:line="240" w:lineRule="auto"/>
        <w:ind w:right="1840"/>
        <w:rPr>
          <w:rFonts w:ascii="Calibri" w:hAnsi="Calibri" w:cs="Arial"/>
          <w:color w:val="auto"/>
          <w:spacing w:val="2"/>
          <w:sz w:val="17"/>
          <w:szCs w:val="17"/>
        </w:rPr>
      </w:pPr>
      <w:r w:rsidRPr="00737D16">
        <w:rPr>
          <w:rFonts w:ascii="Calibri" w:hAnsi="Calibri" w:cs="Arial"/>
          <w:color w:val="auto"/>
          <w:spacing w:val="2"/>
          <w:sz w:val="17"/>
          <w:szCs w:val="17"/>
        </w:rPr>
        <w:tab/>
      </w:r>
    </w:p>
    <w:p w14:paraId="4CB1D802" w14:textId="77777777" w:rsidR="002E6267" w:rsidRPr="005D6A8E" w:rsidRDefault="002E6267" w:rsidP="002E6267">
      <w:pPr>
        <w:pStyle w:val="Paragraphestandard"/>
        <w:tabs>
          <w:tab w:val="left" w:pos="5670"/>
        </w:tabs>
        <w:spacing w:line="240" w:lineRule="auto"/>
        <w:ind w:right="139"/>
        <w:rPr>
          <w:rFonts w:asciiTheme="minorHAnsi" w:hAnsiTheme="minorHAnsi" w:cs="Times New Roman"/>
          <w:sz w:val="22"/>
        </w:rPr>
      </w:pPr>
      <w:r w:rsidRPr="00187D9F">
        <w:rPr>
          <w:rFonts w:ascii="Calibri" w:hAnsi="Calibri" w:cs="Arial"/>
          <w:color w:val="868E95"/>
          <w:spacing w:val="-2"/>
          <w:sz w:val="19"/>
          <w:szCs w:val="19"/>
        </w:rPr>
        <w:t>77 rue de Bernières</w:t>
      </w:r>
      <w:r>
        <w:rPr>
          <w:rFonts w:ascii="Calibri" w:hAnsi="Calibri" w:cs="Arial"/>
          <w:color w:val="868E95"/>
          <w:spacing w:val="-2"/>
          <w:sz w:val="19"/>
          <w:szCs w:val="19"/>
        </w:rPr>
        <w:t xml:space="preserve"> - </w:t>
      </w:r>
      <w:r w:rsidRPr="00977C45">
        <w:rPr>
          <w:rFonts w:ascii="Calibri" w:hAnsi="Calibri" w:cs="Arial"/>
          <w:color w:val="868E95"/>
          <w:spacing w:val="-2"/>
          <w:sz w:val="19"/>
          <w:szCs w:val="19"/>
        </w:rPr>
        <w:t>BP 50196</w:t>
      </w:r>
    </w:p>
    <w:p w14:paraId="5DB8AAC7" w14:textId="77777777" w:rsidR="002E6267" w:rsidRPr="005D6A8E" w:rsidRDefault="002E6267" w:rsidP="002E6267">
      <w:pPr>
        <w:pStyle w:val="Paragraphestandard"/>
        <w:tabs>
          <w:tab w:val="left" w:pos="5670"/>
        </w:tabs>
        <w:spacing w:line="240" w:lineRule="auto"/>
        <w:ind w:left="5670" w:hanging="5670"/>
        <w:rPr>
          <w:rFonts w:asciiTheme="minorHAnsi" w:hAnsiTheme="minorHAnsi" w:cs="Arial"/>
          <w:color w:val="868E95"/>
          <w:spacing w:val="-2"/>
          <w:sz w:val="20"/>
          <w:szCs w:val="19"/>
        </w:rPr>
      </w:pPr>
      <w:r w:rsidRPr="00187D9F">
        <w:rPr>
          <w:rFonts w:ascii="Calibri" w:hAnsi="Calibri" w:cs="Arial"/>
          <w:color w:val="868E95"/>
          <w:spacing w:val="-2"/>
          <w:sz w:val="19"/>
          <w:szCs w:val="19"/>
        </w:rPr>
        <w:t>140</w:t>
      </w:r>
      <w:r>
        <w:rPr>
          <w:rFonts w:ascii="Calibri" w:hAnsi="Calibri" w:cs="Arial"/>
          <w:color w:val="868E95"/>
          <w:spacing w:val="-2"/>
          <w:sz w:val="19"/>
          <w:szCs w:val="19"/>
        </w:rPr>
        <w:t>11</w:t>
      </w:r>
      <w:r w:rsidRPr="00187D9F">
        <w:rPr>
          <w:rFonts w:ascii="Calibri" w:hAnsi="Calibri" w:cs="Arial"/>
          <w:color w:val="868E95"/>
          <w:spacing w:val="-2"/>
          <w:sz w:val="19"/>
          <w:szCs w:val="19"/>
        </w:rPr>
        <w:t xml:space="preserve"> Caen - Cedex 1</w:t>
      </w:r>
      <w:r w:rsidRPr="00F653D4">
        <w:rPr>
          <w:rFonts w:ascii="Calibri" w:hAnsi="Calibri" w:cs="Arial"/>
          <w:color w:val="5B7687"/>
          <w:spacing w:val="-2"/>
          <w:sz w:val="19"/>
          <w:szCs w:val="19"/>
        </w:rPr>
        <w:t xml:space="preserve"> </w:t>
      </w:r>
    </w:p>
    <w:p w14:paraId="107C7D45" w14:textId="48C2512E" w:rsidR="002E6267" w:rsidRPr="005D6A8E" w:rsidRDefault="000F35BF" w:rsidP="002E6267">
      <w:pPr>
        <w:pStyle w:val="Paragraphestandard"/>
        <w:tabs>
          <w:tab w:val="left" w:pos="5670"/>
        </w:tabs>
        <w:spacing w:line="240" w:lineRule="auto"/>
        <w:ind w:right="139"/>
        <w:rPr>
          <w:rFonts w:asciiTheme="minorHAnsi" w:hAnsiTheme="minorHAnsi" w:cs="Times New Roman"/>
          <w:sz w:val="22"/>
        </w:rPr>
      </w:pPr>
      <w:r w:rsidRPr="00187D9F">
        <w:rPr>
          <w:rFonts w:ascii="Calibri" w:hAnsi="Calibri" w:cs="Arial"/>
          <w:color w:val="868E95"/>
          <w:spacing w:val="-2"/>
          <w:sz w:val="19"/>
          <w:szCs w:val="19"/>
        </w:rPr>
        <w:t xml:space="preserve">Tél : 02.31.50.23.88 </w:t>
      </w:r>
      <w:r>
        <w:rPr>
          <w:rFonts w:ascii="Calibri" w:hAnsi="Calibri" w:cs="Arial"/>
          <w:color w:val="868E95"/>
          <w:spacing w:val="-2"/>
          <w:sz w:val="19"/>
          <w:szCs w:val="19"/>
        </w:rPr>
        <w:t xml:space="preserve">- </w:t>
      </w:r>
      <w:r w:rsidRPr="00B46663">
        <w:rPr>
          <w:rFonts w:ascii="Calibri" w:hAnsi="Calibri" w:cs="Arial"/>
          <w:color w:val="868E95"/>
          <w:spacing w:val="-2"/>
          <w:sz w:val="19"/>
          <w:szCs w:val="19"/>
        </w:rPr>
        <w:t>ev@jdmj.fr</w:t>
      </w:r>
      <w:r w:rsidR="002E6267">
        <w:rPr>
          <w:rFonts w:ascii="Calibri" w:hAnsi="Calibri" w:cs="Arial"/>
          <w:color w:val="868E95"/>
          <w:spacing w:val="-2"/>
          <w:sz w:val="17"/>
          <w:szCs w:val="17"/>
        </w:rPr>
        <w:tab/>
      </w:r>
      <w:r w:rsidR="00BF4EA0">
        <w:rPr>
          <w:rFonts w:asciiTheme="minorHAnsi" w:hAnsiTheme="minorHAnsi" w:cs="Times New Roman"/>
          <w:sz w:val="20"/>
        </w:rPr>
        <w:t xml:space="preserve">CREDIT MUTUEL </w:t>
      </w:r>
    </w:p>
    <w:p w14:paraId="12DE85E7" w14:textId="36173BD8" w:rsidR="005E5C69" w:rsidRPr="00F726C4" w:rsidRDefault="002E6267" w:rsidP="002E6267">
      <w:pPr>
        <w:pStyle w:val="Paragraphestandard"/>
        <w:tabs>
          <w:tab w:val="left" w:pos="5670"/>
        </w:tabs>
        <w:spacing w:line="240" w:lineRule="auto"/>
        <w:ind w:right="423"/>
        <w:rPr>
          <w:rFonts w:ascii="Calibri" w:hAnsi="Calibri" w:cs="Arial"/>
          <w:color w:val="868E95"/>
          <w:spacing w:val="-2"/>
          <w:sz w:val="21"/>
          <w:szCs w:val="21"/>
        </w:rPr>
      </w:pPr>
      <w:hyperlink r:id="rId8" w:history="1">
        <w:r w:rsidRPr="00EE6D93">
          <w:rPr>
            <w:rStyle w:val="Lienhypertexte"/>
            <w:rFonts w:ascii="Calibri" w:hAnsi="Calibri" w:cs="Arial"/>
            <w:color w:val="4D7789"/>
            <w:spacing w:val="-2"/>
            <w:sz w:val="19"/>
            <w:szCs w:val="19"/>
            <w:lang w:val="en-US"/>
          </w:rPr>
          <w:t>www.jdmj.fr</w:t>
        </w:r>
      </w:hyperlink>
      <w:r w:rsidR="00090E1F" w:rsidRPr="00737D16">
        <w:rPr>
          <w:rFonts w:ascii="Calibri" w:hAnsi="Calibri" w:cs="Arial"/>
          <w:color w:val="5B7687"/>
          <w:spacing w:val="-2"/>
          <w:sz w:val="19"/>
          <w:szCs w:val="19"/>
        </w:rPr>
        <w:tab/>
      </w:r>
      <w:r w:rsidR="00BF4EA0">
        <w:rPr>
          <w:rFonts w:ascii="Calibri" w:hAnsi="Calibri"/>
          <w:sz w:val="21"/>
          <w:szCs w:val="21"/>
        </w:rPr>
        <w:t xml:space="preserve">1 rue de Condé </w:t>
      </w:r>
    </w:p>
    <w:p w14:paraId="7DC3AD7B" w14:textId="50A5417E" w:rsidR="005E5C69" w:rsidRPr="00F726C4" w:rsidRDefault="00BF4EA0" w:rsidP="005E5C69">
      <w:pPr>
        <w:pStyle w:val="Converter8"/>
        <w:ind w:left="5670"/>
        <w:rPr>
          <w:rFonts w:ascii="Calibri" w:hAnsi="Calibri"/>
          <w:sz w:val="21"/>
          <w:szCs w:val="21"/>
        </w:rPr>
      </w:pPr>
      <w:r>
        <w:rPr>
          <w:rFonts w:ascii="Calibri" w:hAnsi="Calibri"/>
          <w:sz w:val="21"/>
          <w:szCs w:val="21"/>
        </w:rPr>
        <w:t>14220 THURY HARCOURT</w:t>
      </w:r>
    </w:p>
    <w:p w14:paraId="56E33B39" w14:textId="77777777" w:rsidR="005E5C69" w:rsidRPr="005E5C69" w:rsidRDefault="005E5C69" w:rsidP="005E5C69">
      <w:pPr>
        <w:pStyle w:val="Converter12"/>
        <w:ind w:left="284"/>
        <w:rPr>
          <w:rFonts w:ascii="Calibri" w:hAnsi="Calibri"/>
          <w:b w:val="0"/>
        </w:rPr>
      </w:pPr>
      <w:r w:rsidRPr="005E5C69">
        <w:rPr>
          <w:rFonts w:ascii="Calibri" w:hAnsi="Calibri"/>
          <w:b w:val="0"/>
        </w:rPr>
        <w:t>Nos réf.</w:t>
      </w:r>
      <w:r w:rsidRPr="005E5C69">
        <w:rPr>
          <w:rFonts w:ascii="Calibri" w:hAnsi="Calibri"/>
        </w:rPr>
        <w:t xml:space="preserve"> : </w:t>
      </w:r>
      <w:r w:rsidRPr="005E5C69">
        <w:rPr>
          <w:rFonts w:ascii="Calibri" w:hAnsi="Calibri"/>
          <w:b w:val="0"/>
        </w:rPr>
        <w:t>Liquidation Judiciaire</w:t>
      </w:r>
    </w:p>
    <w:p w14:paraId="6663D6FE" w14:textId="77777777" w:rsidR="005E5C69" w:rsidRPr="005E5C69" w:rsidRDefault="005E5C69" w:rsidP="005E5C69">
      <w:pPr>
        <w:pStyle w:val="Converter12"/>
        <w:ind w:left="284"/>
        <w:rPr>
          <w:rFonts w:ascii="Calibri" w:hAnsi="Calibri"/>
          <w:b w:val="0"/>
        </w:rPr>
      </w:pPr>
      <w:r w:rsidRPr="005E5C69">
        <w:rPr>
          <w:rFonts w:ascii="Calibri" w:hAnsi="Calibri"/>
          <w:b w:val="0"/>
        </w:rPr>
        <w:t>Date JO : 1 juillet 2026</w:t>
      </w:r>
    </w:p>
    <w:p w14:paraId="1F3BAD96" w14:textId="77777777" w:rsidR="005E5C69" w:rsidRPr="005E5C69" w:rsidRDefault="005E5C69" w:rsidP="005E5C69">
      <w:pPr>
        <w:pStyle w:val="Converter12"/>
        <w:ind w:left="284"/>
        <w:rPr>
          <w:rFonts w:ascii="Calibri" w:hAnsi="Calibri"/>
        </w:rPr>
      </w:pPr>
      <w:r w:rsidRPr="005E5C69">
        <w:rPr>
          <w:rFonts w:ascii="Calibri" w:hAnsi="Calibri"/>
        </w:rPr>
        <w:t xml:space="preserve">SARL HOM'IMMO  </w:t>
      </w:r>
    </w:p>
    <w:p w14:paraId="4F7F08C4" w14:textId="77777777" w:rsidR="005E5C69" w:rsidRPr="005E5C69" w:rsidRDefault="005E5C69" w:rsidP="005E5C69">
      <w:pPr>
        <w:pStyle w:val="Converter12"/>
        <w:ind w:left="284"/>
        <w:rPr>
          <w:rFonts w:ascii="Calibri" w:hAnsi="Calibri"/>
          <w:b w:val="0"/>
        </w:rPr>
      </w:pPr>
      <w:r w:rsidRPr="005E5C69">
        <w:rPr>
          <w:rFonts w:ascii="Calibri" w:hAnsi="Calibri"/>
          <w:b w:val="0"/>
        </w:rPr>
        <w:t>siren : 951 474 436</w:t>
      </w:r>
    </w:p>
    <w:p w14:paraId="578026A9" w14:textId="77777777" w:rsidR="005E5C69" w:rsidRPr="005E5C69" w:rsidRDefault="005E5C69" w:rsidP="005E5C69">
      <w:pPr>
        <w:pStyle w:val="Converter12"/>
        <w:ind w:left="284" w:right="1162"/>
        <w:rPr>
          <w:rFonts w:ascii="Calibri" w:hAnsi="Calibri"/>
          <w:b w:val="0"/>
        </w:rPr>
      </w:pPr>
      <w:r w:rsidRPr="005E5C69">
        <w:rPr>
          <w:rFonts w:ascii="Calibri" w:hAnsi="Calibri"/>
          <w:b w:val="0"/>
        </w:rPr>
        <w:t>JD/EV - BANQ</w:t>
      </w:r>
    </w:p>
    <w:p w14:paraId="6A580AF7" w14:textId="77777777" w:rsidR="005E5C69" w:rsidRPr="005E5C69" w:rsidRDefault="005E5C69" w:rsidP="005E5C69">
      <w:pPr>
        <w:pStyle w:val="Converter12"/>
        <w:ind w:left="284"/>
        <w:rPr>
          <w:rFonts w:ascii="Calibri" w:hAnsi="Calibri"/>
          <w:b w:val="0"/>
          <w:sz w:val="22"/>
        </w:rPr>
      </w:pPr>
    </w:p>
    <w:p w14:paraId="4EA9A34F" w14:textId="77777777" w:rsidR="005E5C69" w:rsidRPr="00CD5D81" w:rsidRDefault="005E5C69" w:rsidP="00CD5D81">
      <w:pPr>
        <w:pStyle w:val="Converter12"/>
        <w:tabs>
          <w:tab w:val="left" w:pos="0"/>
          <w:tab w:val="left" w:pos="5670"/>
        </w:tabs>
        <w:ind w:left="284"/>
        <w:rPr>
          <w:rFonts w:ascii="Calibri" w:hAnsi="Calibri"/>
          <w:b w:val="0"/>
          <w:sz w:val="20"/>
          <w:szCs w:val="20"/>
        </w:rPr>
      </w:pPr>
      <w:r w:rsidRPr="005E5C69">
        <w:rPr>
          <w:rFonts w:ascii="Calibri" w:hAnsi="Calibri"/>
          <w:b w:val="0"/>
        </w:rPr>
        <w:t>Vos réf</w:t>
      </w:r>
      <w:r w:rsidRPr="005E5C69">
        <w:rPr>
          <w:rFonts w:ascii="Calibri" w:hAnsi="Calibri"/>
        </w:rPr>
        <w:t>. :</w:t>
      </w:r>
      <w:r w:rsidRPr="005E5C69">
        <w:rPr>
          <w:rFonts w:ascii="Calibri" w:hAnsi="Calibri"/>
          <w:sz w:val="22"/>
        </w:rPr>
        <w:tab/>
      </w:r>
      <w:r w:rsidRPr="00CD5D81">
        <w:rPr>
          <w:rFonts w:ascii="Calibri" w:hAnsi="Calibri"/>
          <w:b w:val="0"/>
          <w:sz w:val="20"/>
          <w:szCs w:val="20"/>
        </w:rPr>
        <w:t>Caen, le 2 juillet 2026</w:t>
      </w:r>
    </w:p>
    <w:p w14:paraId="5CEAF805" w14:textId="77777777" w:rsidR="00090E1F" w:rsidRPr="00CD5D81" w:rsidRDefault="00090E1F" w:rsidP="00DE0FB8">
      <w:pPr>
        <w:pStyle w:val="Converter13"/>
        <w:tabs>
          <w:tab w:val="clear" w:pos="0"/>
          <w:tab w:val="clear" w:pos="5402"/>
        </w:tabs>
        <w:ind w:left="284"/>
        <w:rPr>
          <w:rFonts w:ascii="Calibri" w:hAnsi="Calibri" w:cs="Arial"/>
          <w:sz w:val="20"/>
          <w:szCs w:val="20"/>
        </w:rPr>
      </w:pPr>
    </w:p>
    <w:p w14:paraId="3D39CE5A" w14:textId="77777777" w:rsidR="00BC26D6" w:rsidRPr="00CD5D81" w:rsidRDefault="00BC26D6" w:rsidP="00647CF4">
      <w:pPr>
        <w:pStyle w:val="Converter13"/>
        <w:tabs>
          <w:tab w:val="clear" w:pos="0"/>
          <w:tab w:val="clear" w:pos="5402"/>
        </w:tabs>
        <w:ind w:left="5103" w:right="567"/>
        <w:rPr>
          <w:rFonts w:ascii="Calibri" w:hAnsi="Calibri" w:cs="Arial"/>
          <w:i/>
          <w:sz w:val="20"/>
          <w:szCs w:val="20"/>
          <w:u w:val="single"/>
        </w:rPr>
      </w:pPr>
    </w:p>
    <w:p w14:paraId="6DAE3A2B" w14:textId="77777777" w:rsidR="005E5C69" w:rsidRPr="00EB7EA5" w:rsidRDefault="005E5C69" w:rsidP="005E5C69">
      <w:pPr>
        <w:pStyle w:val="Converter13"/>
        <w:tabs>
          <w:tab w:val="clear" w:pos="0"/>
          <w:tab w:val="clear" w:pos="5402"/>
        </w:tabs>
        <w:ind w:left="993" w:right="561"/>
        <w:rPr>
          <w:rFonts w:ascii="Calibri" w:hAnsi="Calibri"/>
          <w:b w:val="0"/>
          <w:sz w:val="20"/>
          <w:szCs w:val="20"/>
        </w:rPr>
      </w:pPr>
      <w:r w:rsidRPr="00EB7EA5">
        <w:rPr>
          <w:rFonts w:ascii="Calibri" w:hAnsi="Calibri"/>
          <w:b w:val="0"/>
          <w:sz w:val="20"/>
          <w:szCs w:val="20"/>
        </w:rPr>
        <w:t>Madame, Monsieur le Directeur,</w:t>
      </w:r>
    </w:p>
    <w:p w14:paraId="4FFA7DE7" w14:textId="77777777" w:rsidR="005E5C69" w:rsidRPr="00EB7EA5" w:rsidRDefault="005E5C69" w:rsidP="005E5C69">
      <w:pPr>
        <w:pStyle w:val="Converter13"/>
        <w:tabs>
          <w:tab w:val="clear" w:pos="0"/>
          <w:tab w:val="clear" w:pos="5402"/>
        </w:tabs>
        <w:ind w:right="561"/>
        <w:rPr>
          <w:rFonts w:ascii="Calibri" w:hAnsi="Calibri"/>
          <w:b w:val="0"/>
          <w:sz w:val="20"/>
          <w:szCs w:val="20"/>
        </w:rPr>
      </w:pPr>
    </w:p>
    <w:p w14:paraId="57BCF18A" w14:textId="77777777" w:rsidR="005E5C69" w:rsidRPr="00EB7EA5" w:rsidRDefault="005E5C69" w:rsidP="005E5C69">
      <w:pPr>
        <w:pStyle w:val="Converter13"/>
        <w:tabs>
          <w:tab w:val="clear" w:pos="0"/>
          <w:tab w:val="clear" w:pos="5402"/>
        </w:tabs>
        <w:ind w:right="561"/>
        <w:rPr>
          <w:rFonts w:ascii="Calibri" w:hAnsi="Calibri"/>
          <w:b w:val="0"/>
          <w:sz w:val="20"/>
          <w:szCs w:val="20"/>
        </w:rPr>
      </w:pPr>
    </w:p>
    <w:p w14:paraId="068B272F" w14:textId="77777777" w:rsidR="005E5C69" w:rsidRPr="003B49FA" w:rsidRDefault="005E5C69" w:rsidP="005E5C69">
      <w:pPr>
        <w:pStyle w:val="Converter12"/>
        <w:ind w:left="993" w:right="490"/>
        <w:rPr>
          <w:rFonts w:ascii="Calibri" w:hAnsi="Calibri"/>
          <w:sz w:val="20"/>
          <w:szCs w:val="20"/>
        </w:rPr>
      </w:pPr>
      <w:r w:rsidRPr="00EB7EA5">
        <w:rPr>
          <w:rFonts w:ascii="Calibri" w:hAnsi="Calibri"/>
          <w:b w:val="0"/>
          <w:sz w:val="20"/>
          <w:szCs w:val="20"/>
        </w:rPr>
        <w:t>Par jugement en date du 1</w:t>
      </w:r>
      <w:r w:rsidR="0065071D" w:rsidRPr="0065071D">
        <w:rPr>
          <w:rFonts w:ascii="Calibri" w:hAnsi="Calibri"/>
          <w:b w:val="0"/>
          <w:sz w:val="20"/>
          <w:szCs w:val="20"/>
          <w:vertAlign w:val="superscript"/>
        </w:rPr>
        <w:t>er</w:t>
      </w:r>
      <w:r w:rsidR="0065071D">
        <w:rPr>
          <w:rFonts w:ascii="Calibri" w:hAnsi="Calibri"/>
          <w:b w:val="0"/>
          <w:sz w:val="20"/>
          <w:szCs w:val="20"/>
        </w:rPr>
        <w:t xml:space="preserve"> </w:t>
      </w:r>
      <w:r w:rsidRPr="00EB7EA5">
        <w:rPr>
          <w:rFonts w:ascii="Calibri" w:hAnsi="Calibri"/>
          <w:b w:val="0"/>
          <w:sz w:val="20"/>
          <w:szCs w:val="20"/>
        </w:rPr>
        <w:t>juillet 2026, le Tribunal de Commerce de Caen</w:t>
      </w:r>
      <w:r w:rsidRPr="00EB7EA5">
        <w:rPr>
          <w:rFonts w:ascii="Calibri" w:hAnsi="Calibri"/>
          <w:sz w:val="20"/>
          <w:szCs w:val="20"/>
        </w:rPr>
        <w:t xml:space="preserve"> </w:t>
      </w:r>
      <w:r w:rsidRPr="00EB7EA5">
        <w:rPr>
          <w:rFonts w:ascii="Calibri" w:hAnsi="Calibri"/>
          <w:b w:val="0"/>
          <w:sz w:val="20"/>
          <w:szCs w:val="20"/>
        </w:rPr>
        <w:t xml:space="preserve">a ouvert une procédure de liquidation judiciaire </w:t>
      </w:r>
      <w:r w:rsidR="00EB7EA5" w:rsidRPr="00EB7EA5">
        <w:rPr>
          <w:rFonts w:ascii="Calibri" w:hAnsi="Calibri"/>
          <w:b w:val="0"/>
          <w:sz w:val="20"/>
          <w:szCs w:val="20"/>
        </w:rPr>
        <w:t xml:space="preserve">avec une poursuite </w:t>
      </w:r>
      <w:r w:rsidR="00EB7EA5" w:rsidRPr="003B49FA">
        <w:rPr>
          <w:rFonts w:ascii="Calibri" w:hAnsi="Calibri"/>
          <w:b w:val="0"/>
          <w:sz w:val="20"/>
          <w:szCs w:val="20"/>
        </w:rPr>
        <w:t xml:space="preserve">d’activité jusqu’au </w:t>
      </w:r>
      <w:r w:rsidR="0065071D" w:rsidRPr="003B49FA">
        <w:rPr>
          <w:rFonts w:ascii="Calibri" w:hAnsi="Calibri"/>
          <w:b w:val="0"/>
          <w:sz w:val="20"/>
          <w:szCs w:val="20"/>
        </w:rPr>
        <w:t>15 juillet 2026</w:t>
      </w:r>
      <w:r w:rsidR="00EB7EA5" w:rsidRPr="003B49FA">
        <w:rPr>
          <w:rFonts w:ascii="Calibri" w:hAnsi="Calibri"/>
          <w:b w:val="0"/>
          <w:sz w:val="20"/>
          <w:szCs w:val="20"/>
        </w:rPr>
        <w:t xml:space="preserve"> </w:t>
      </w:r>
      <w:r w:rsidRPr="003B49FA">
        <w:rPr>
          <w:rFonts w:ascii="Calibri" w:hAnsi="Calibri"/>
          <w:b w:val="0"/>
          <w:sz w:val="20"/>
          <w:szCs w:val="20"/>
        </w:rPr>
        <w:t>à l’égard de la SARL HOM'IMMO, THURY-HARCOURT (14220)</w:t>
      </w:r>
      <w:r w:rsidR="005C3690" w:rsidRPr="003B49FA">
        <w:rPr>
          <w:rFonts w:ascii="Calibri" w:hAnsi="Calibri"/>
          <w:b w:val="0"/>
          <w:sz w:val="20"/>
          <w:szCs w:val="20"/>
        </w:rPr>
        <w:t xml:space="preserve"> </w:t>
      </w:r>
      <w:r w:rsidRPr="003B49FA">
        <w:rPr>
          <w:rFonts w:ascii="Calibri" w:hAnsi="Calibri"/>
          <w:b w:val="0"/>
          <w:sz w:val="20"/>
          <w:szCs w:val="20"/>
        </w:rPr>
        <w:t>5 rue de Caen Thury Harcourt et m’a désignée liquidateur judiciaire.</w:t>
      </w:r>
    </w:p>
    <w:p w14:paraId="236AE6B4" w14:textId="77777777" w:rsidR="005E5C69" w:rsidRPr="003B49FA" w:rsidRDefault="005E5C69" w:rsidP="005E5C69">
      <w:pPr>
        <w:pStyle w:val="Converter13"/>
        <w:tabs>
          <w:tab w:val="clear" w:pos="0"/>
          <w:tab w:val="clear" w:pos="5402"/>
        </w:tabs>
        <w:ind w:left="993" w:right="561"/>
        <w:rPr>
          <w:rFonts w:ascii="Calibri" w:hAnsi="Calibri"/>
          <w:b w:val="0"/>
          <w:sz w:val="20"/>
          <w:szCs w:val="20"/>
        </w:rPr>
      </w:pPr>
    </w:p>
    <w:p w14:paraId="57215CCF" w14:textId="77777777" w:rsidR="00EB7EA5" w:rsidRPr="003B49FA" w:rsidRDefault="00EB7EA5" w:rsidP="00EB7EA5">
      <w:pPr>
        <w:pStyle w:val="Converter12"/>
        <w:ind w:left="993" w:right="490"/>
        <w:rPr>
          <w:rFonts w:asciiTheme="minorHAnsi" w:hAnsiTheme="minorHAnsi"/>
          <w:sz w:val="20"/>
          <w:szCs w:val="20"/>
        </w:rPr>
      </w:pPr>
      <w:r w:rsidRPr="003B49FA">
        <w:rPr>
          <w:rFonts w:asciiTheme="minorHAnsi" w:hAnsiTheme="minorHAnsi"/>
          <w:b w:val="0"/>
          <w:sz w:val="20"/>
          <w:szCs w:val="20"/>
        </w:rPr>
        <w:t xml:space="preserve">Je vous demande de bien vouloir laisser fonctionner le compte bancaire de la </w:t>
      </w:r>
      <w:r w:rsidRPr="003B49FA">
        <w:rPr>
          <w:rFonts w:ascii="Calibri" w:hAnsi="Calibri"/>
          <w:b w:val="0"/>
          <w:sz w:val="20"/>
          <w:szCs w:val="20"/>
        </w:rPr>
        <w:t>SARL HOM'IMMO</w:t>
      </w:r>
      <w:r w:rsidRPr="003B49FA">
        <w:rPr>
          <w:rFonts w:asciiTheme="minorHAnsi" w:hAnsiTheme="minorHAnsi"/>
          <w:b w:val="0"/>
          <w:sz w:val="20"/>
          <w:szCs w:val="20"/>
        </w:rPr>
        <w:t xml:space="preserve"> à seule fin d’encaissements, et, s’agissant des débits, ils ne pourront être opérés que sous ma seule signature.</w:t>
      </w:r>
    </w:p>
    <w:p w14:paraId="35F24DBD" w14:textId="77777777" w:rsidR="00EB7EA5" w:rsidRPr="003B49FA" w:rsidRDefault="00EB7EA5" w:rsidP="00EB7EA5">
      <w:pPr>
        <w:pStyle w:val="Converter13"/>
        <w:tabs>
          <w:tab w:val="clear" w:pos="0"/>
          <w:tab w:val="clear" w:pos="5402"/>
        </w:tabs>
        <w:ind w:left="993" w:right="561"/>
        <w:rPr>
          <w:rFonts w:asciiTheme="minorHAnsi" w:hAnsiTheme="minorHAnsi"/>
          <w:b w:val="0"/>
          <w:sz w:val="20"/>
          <w:szCs w:val="20"/>
        </w:rPr>
      </w:pPr>
    </w:p>
    <w:p w14:paraId="2B9D0BA7" w14:textId="77777777" w:rsidR="00EB7EA5" w:rsidRPr="003B49FA" w:rsidRDefault="00EB7EA5" w:rsidP="00EB7EA5">
      <w:pPr>
        <w:pStyle w:val="Converter13"/>
        <w:tabs>
          <w:tab w:val="clear" w:pos="0"/>
          <w:tab w:val="clear" w:pos="5402"/>
        </w:tabs>
        <w:ind w:left="993" w:right="561"/>
        <w:rPr>
          <w:rFonts w:asciiTheme="minorHAnsi" w:hAnsiTheme="minorHAnsi"/>
          <w:b w:val="0"/>
          <w:sz w:val="20"/>
          <w:szCs w:val="20"/>
        </w:rPr>
      </w:pPr>
      <w:r w:rsidRPr="003B49FA">
        <w:rPr>
          <w:rFonts w:asciiTheme="minorHAnsi" w:hAnsiTheme="minorHAnsi"/>
          <w:b w:val="0"/>
          <w:sz w:val="20"/>
          <w:szCs w:val="20"/>
        </w:rPr>
        <w:t xml:space="preserve">Par ailleurs, il résulte des dispositions </w:t>
      </w:r>
      <w:r w:rsidRPr="003B49FA">
        <w:rPr>
          <w:rFonts w:asciiTheme="minorHAnsi" w:hAnsiTheme="minorHAnsi"/>
          <w:b w:val="0"/>
          <w:color w:val="auto"/>
          <w:sz w:val="20"/>
          <w:szCs w:val="20"/>
        </w:rPr>
        <w:t>des articles L. 641-3 alinéa 1</w:t>
      </w:r>
      <w:r w:rsidRPr="003B49FA">
        <w:rPr>
          <w:rFonts w:asciiTheme="minorHAnsi" w:hAnsiTheme="minorHAnsi"/>
          <w:b w:val="0"/>
          <w:color w:val="auto"/>
          <w:sz w:val="20"/>
          <w:szCs w:val="20"/>
          <w:vertAlign w:val="superscript"/>
        </w:rPr>
        <w:t>er</w:t>
      </w:r>
      <w:r w:rsidRPr="003B49FA">
        <w:rPr>
          <w:rFonts w:asciiTheme="minorHAnsi" w:hAnsiTheme="minorHAnsi"/>
          <w:b w:val="0"/>
          <w:color w:val="auto"/>
          <w:sz w:val="20"/>
          <w:szCs w:val="20"/>
        </w:rPr>
        <w:t>, L. 622-7 I, R. 621-4 alinéa 2 et R. 641-1 du Code de Commerce, reproduites au verso de la présente,</w:t>
      </w:r>
      <w:r w:rsidRPr="003B49FA">
        <w:rPr>
          <w:rFonts w:asciiTheme="minorHAnsi" w:hAnsiTheme="minorHAnsi" w:cs="Arial"/>
          <w:b w:val="0"/>
          <w:color w:val="auto"/>
          <w:sz w:val="20"/>
          <w:szCs w:val="20"/>
        </w:rPr>
        <w:t xml:space="preserve"> que le jugement d'ouverture de la procédure prend effet à compter de sa date et emporte, de plein droit, interdiction de payer toute créance née antérieurement à celui-ci. </w:t>
      </w:r>
    </w:p>
    <w:p w14:paraId="42D4BDCA" w14:textId="77777777" w:rsidR="00EB7EA5" w:rsidRPr="003B49FA" w:rsidRDefault="00EB7EA5" w:rsidP="00EB7EA5">
      <w:pPr>
        <w:pStyle w:val="Converter12"/>
        <w:ind w:left="993" w:right="490"/>
        <w:rPr>
          <w:rFonts w:asciiTheme="minorHAnsi" w:hAnsiTheme="minorHAnsi"/>
          <w:b w:val="0"/>
          <w:sz w:val="20"/>
          <w:szCs w:val="20"/>
        </w:rPr>
      </w:pPr>
    </w:p>
    <w:p w14:paraId="7681CA18" w14:textId="5328471E" w:rsidR="00EB7EA5" w:rsidRPr="003B49FA" w:rsidRDefault="00EB7EA5" w:rsidP="00EB7EA5">
      <w:pPr>
        <w:pStyle w:val="Converter13"/>
        <w:tabs>
          <w:tab w:val="clear" w:pos="0"/>
          <w:tab w:val="clear" w:pos="5402"/>
        </w:tabs>
        <w:ind w:left="993" w:right="561"/>
        <w:rPr>
          <w:rFonts w:asciiTheme="minorHAnsi" w:hAnsiTheme="minorHAnsi"/>
          <w:b w:val="0"/>
          <w:sz w:val="20"/>
          <w:szCs w:val="20"/>
        </w:rPr>
      </w:pPr>
      <w:r w:rsidRPr="003B49FA">
        <w:rPr>
          <w:rFonts w:asciiTheme="minorHAnsi" w:hAnsiTheme="minorHAnsi"/>
          <w:b w:val="0"/>
          <w:sz w:val="20"/>
          <w:szCs w:val="20"/>
        </w:rPr>
        <w:t xml:space="preserve">Par conséquent, il convient le cas échéant, de créditer le compte ouvert au nom de la </w:t>
      </w:r>
      <w:r w:rsidRPr="003B49FA">
        <w:rPr>
          <w:rFonts w:ascii="Calibri" w:hAnsi="Calibri"/>
          <w:b w:val="0"/>
          <w:sz w:val="20"/>
          <w:szCs w:val="20"/>
        </w:rPr>
        <w:t>SARL HOM'IMMO</w:t>
      </w:r>
      <w:r w:rsidRPr="003B49FA">
        <w:rPr>
          <w:rFonts w:asciiTheme="minorHAnsi" w:hAnsiTheme="minorHAnsi"/>
          <w:b w:val="0"/>
          <w:sz w:val="20"/>
          <w:szCs w:val="20"/>
        </w:rPr>
        <w:t xml:space="preserve"> des opérations passées au débit depuis le </w:t>
      </w:r>
      <w:r w:rsidRPr="003B49FA">
        <w:rPr>
          <w:rFonts w:ascii="Calibri" w:hAnsi="Calibri"/>
          <w:b w:val="0"/>
          <w:sz w:val="20"/>
          <w:szCs w:val="20"/>
        </w:rPr>
        <w:t>1</w:t>
      </w:r>
      <w:r w:rsidR="00794FC7" w:rsidRPr="00794FC7">
        <w:rPr>
          <w:rFonts w:ascii="Calibri" w:hAnsi="Calibri"/>
          <w:b w:val="0"/>
          <w:sz w:val="20"/>
          <w:szCs w:val="20"/>
          <w:vertAlign w:val="superscript"/>
        </w:rPr>
        <w:t>er</w:t>
      </w:r>
      <w:r w:rsidR="00794FC7">
        <w:rPr>
          <w:rFonts w:ascii="Calibri" w:hAnsi="Calibri"/>
          <w:b w:val="0"/>
          <w:sz w:val="20"/>
          <w:szCs w:val="20"/>
        </w:rPr>
        <w:t xml:space="preserve"> </w:t>
      </w:r>
      <w:r w:rsidRPr="003B49FA">
        <w:rPr>
          <w:rFonts w:ascii="Calibri" w:hAnsi="Calibri"/>
          <w:b w:val="0"/>
          <w:sz w:val="20"/>
          <w:szCs w:val="20"/>
        </w:rPr>
        <w:t>juillet 2026</w:t>
      </w:r>
      <w:r w:rsidRPr="003B49FA">
        <w:rPr>
          <w:rFonts w:asciiTheme="minorHAnsi" w:hAnsiTheme="minorHAnsi"/>
          <w:b w:val="0"/>
          <w:sz w:val="20"/>
          <w:szCs w:val="20"/>
        </w:rPr>
        <w:t>.</w:t>
      </w:r>
    </w:p>
    <w:p w14:paraId="6C32E125" w14:textId="77777777" w:rsidR="00EB7EA5" w:rsidRPr="003B49FA" w:rsidRDefault="00EB7EA5" w:rsidP="00EB7EA5">
      <w:pPr>
        <w:pStyle w:val="Converter12"/>
        <w:ind w:left="993" w:right="490"/>
        <w:rPr>
          <w:rFonts w:asciiTheme="minorHAnsi" w:hAnsiTheme="minorHAnsi"/>
          <w:b w:val="0"/>
          <w:sz w:val="20"/>
          <w:szCs w:val="20"/>
        </w:rPr>
      </w:pPr>
    </w:p>
    <w:p w14:paraId="76F42DF7" w14:textId="77777777" w:rsidR="00EB7EA5" w:rsidRPr="00EB7EA5" w:rsidRDefault="00EB7EA5" w:rsidP="00EB7EA5">
      <w:pPr>
        <w:pStyle w:val="Converter12"/>
        <w:ind w:left="993" w:right="490"/>
        <w:rPr>
          <w:rFonts w:asciiTheme="minorHAnsi" w:hAnsiTheme="minorHAnsi"/>
          <w:b w:val="0"/>
          <w:sz w:val="20"/>
          <w:szCs w:val="20"/>
        </w:rPr>
      </w:pPr>
      <w:r w:rsidRPr="003B49FA">
        <w:rPr>
          <w:rFonts w:asciiTheme="minorHAnsi" w:hAnsiTheme="minorHAnsi"/>
          <w:b w:val="0"/>
          <w:sz w:val="20"/>
          <w:szCs w:val="20"/>
        </w:rPr>
        <w:t xml:space="preserve">Enfin, je vous remercie de bien vouloir me transmettre les relevés des six mois ayant précédé l’ouverture de la procédure de liquidation judiciaire et me faire parvenir le solde créditeur du compte ouvert au nom de la </w:t>
      </w:r>
      <w:r w:rsidRPr="003B49FA">
        <w:rPr>
          <w:rFonts w:ascii="Calibri" w:hAnsi="Calibri"/>
          <w:b w:val="0"/>
          <w:sz w:val="20"/>
          <w:szCs w:val="20"/>
        </w:rPr>
        <w:t>SARL HOM'IMMO</w:t>
      </w:r>
      <w:r w:rsidRPr="003B49FA">
        <w:rPr>
          <w:rFonts w:asciiTheme="minorHAnsi" w:hAnsiTheme="minorHAnsi"/>
          <w:b w:val="0"/>
          <w:sz w:val="20"/>
          <w:szCs w:val="20"/>
        </w:rPr>
        <w:t xml:space="preserve"> par chèque établi à mon ordre ou par virement sur le compte Caisse des Dépôts et Consignations dont vous</w:t>
      </w:r>
      <w:r w:rsidRPr="00EB7EA5">
        <w:rPr>
          <w:rFonts w:asciiTheme="minorHAnsi" w:hAnsiTheme="minorHAnsi"/>
          <w:b w:val="0"/>
          <w:sz w:val="20"/>
          <w:szCs w:val="20"/>
        </w:rPr>
        <w:t xml:space="preserve"> trouverez les références au </w:t>
      </w:r>
      <w:r w:rsidR="00103E97">
        <w:rPr>
          <w:rFonts w:asciiTheme="minorHAnsi" w:hAnsiTheme="minorHAnsi"/>
          <w:b w:val="0"/>
          <w:sz w:val="20"/>
          <w:szCs w:val="20"/>
        </w:rPr>
        <w:t>bas</w:t>
      </w:r>
      <w:r w:rsidRPr="00EB7EA5">
        <w:rPr>
          <w:rFonts w:asciiTheme="minorHAnsi" w:hAnsiTheme="minorHAnsi"/>
          <w:b w:val="0"/>
          <w:sz w:val="20"/>
          <w:szCs w:val="20"/>
        </w:rPr>
        <w:t xml:space="preserve"> de la présente</w:t>
      </w:r>
      <w:r w:rsidR="00A51128">
        <w:rPr>
          <w:rFonts w:asciiTheme="minorHAnsi" w:hAnsiTheme="minorHAnsi"/>
          <w:b w:val="0"/>
          <w:sz w:val="20"/>
          <w:szCs w:val="20"/>
        </w:rPr>
        <w:t xml:space="preserve"> </w:t>
      </w:r>
      <w:r w:rsidRPr="00EB7EA5">
        <w:rPr>
          <w:rFonts w:asciiTheme="minorHAnsi" w:hAnsiTheme="minorHAnsi"/>
          <w:b w:val="0"/>
          <w:sz w:val="20"/>
          <w:szCs w:val="20"/>
        </w:rPr>
        <w:t>ou, à défaut, votre déclaration de créance.</w:t>
      </w:r>
    </w:p>
    <w:p w14:paraId="109461BB" w14:textId="77777777" w:rsidR="005E5C69" w:rsidRPr="00EB7EA5" w:rsidRDefault="005E5C69" w:rsidP="005E5C69">
      <w:pPr>
        <w:pStyle w:val="Converter13"/>
        <w:tabs>
          <w:tab w:val="clear" w:pos="0"/>
          <w:tab w:val="clear" w:pos="5402"/>
        </w:tabs>
        <w:ind w:left="993" w:right="561"/>
        <w:rPr>
          <w:rFonts w:ascii="Calibri" w:hAnsi="Calibri"/>
          <w:b w:val="0"/>
          <w:sz w:val="20"/>
          <w:szCs w:val="20"/>
        </w:rPr>
      </w:pPr>
    </w:p>
    <w:p w14:paraId="2776064C" w14:textId="77777777" w:rsidR="005E5C69" w:rsidRPr="00EB7EA5" w:rsidRDefault="005E5C69" w:rsidP="005E5C69">
      <w:pPr>
        <w:pStyle w:val="Converter13"/>
        <w:tabs>
          <w:tab w:val="clear" w:pos="0"/>
          <w:tab w:val="clear" w:pos="5402"/>
        </w:tabs>
        <w:ind w:left="993" w:right="561"/>
        <w:rPr>
          <w:rFonts w:ascii="Calibri" w:hAnsi="Calibri"/>
          <w:b w:val="0"/>
          <w:sz w:val="20"/>
          <w:szCs w:val="20"/>
        </w:rPr>
      </w:pPr>
      <w:r w:rsidRPr="00EB7EA5">
        <w:rPr>
          <w:rFonts w:ascii="Calibri" w:hAnsi="Calibri"/>
          <w:b w:val="0"/>
          <w:sz w:val="20"/>
          <w:szCs w:val="20"/>
        </w:rPr>
        <w:t>Je vous prie d'agréer, Madame, Monsieur le Directeur, mes salutations distinguées.</w:t>
      </w:r>
    </w:p>
    <w:p w14:paraId="75DC5065" w14:textId="77777777" w:rsidR="005E5C69" w:rsidRPr="00CD5D81" w:rsidRDefault="005E5C69" w:rsidP="005E5C69">
      <w:pPr>
        <w:pStyle w:val="Converter13"/>
        <w:tabs>
          <w:tab w:val="clear" w:pos="0"/>
          <w:tab w:val="clear" w:pos="5402"/>
        </w:tabs>
        <w:ind w:left="993" w:right="561"/>
        <w:rPr>
          <w:rFonts w:ascii="Calibri" w:hAnsi="Calibri"/>
          <w:b w:val="0"/>
          <w:sz w:val="20"/>
          <w:szCs w:val="20"/>
        </w:rPr>
      </w:pPr>
    </w:p>
    <w:p w14:paraId="20053B23" w14:textId="77777777" w:rsidR="005E5C69" w:rsidRPr="00CD5D81" w:rsidRDefault="005E5C69" w:rsidP="005E5C69">
      <w:pPr>
        <w:pStyle w:val="Converter14"/>
        <w:ind w:left="5387"/>
        <w:rPr>
          <w:rFonts w:ascii="Calibri" w:hAnsi="Calibri"/>
          <w:bCs/>
          <w:sz w:val="20"/>
          <w:szCs w:val="20"/>
        </w:rPr>
      </w:pPr>
      <w:r w:rsidRPr="00CD5D81">
        <w:rPr>
          <w:rFonts w:ascii="Calibri" w:hAnsi="Calibri"/>
          <w:bCs/>
          <w:noProof/>
          <w:sz w:val="20"/>
          <w:szCs w:val="20"/>
        </w:rPr>
        <w:drawing>
          <wp:inline distT="0" distB="0" distL="0" distR="0" wp14:anchorId="78EC12AA" wp14:editId="1394F62D">
            <wp:extent cx="1994357" cy="724065"/>
            <wp:effectExtent l="0" t="0" r="0" b="0"/>
            <wp:docPr id="349754113" name="Image34975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54113" name=""/>
                    <pic:cNvPicPr/>
                  </pic:nvPicPr>
                  <pic:blipFill>
                    <a:blip r:embed="rId9"/>
                    <a:stretch>
                      <a:fillRect/>
                    </a:stretch>
                  </pic:blipFill>
                  <pic:spPr>
                    <a:xfrm>
                      <a:off x="0" y="0"/>
                      <a:ext cx="1994357" cy="724065"/>
                    </a:xfrm>
                    <a:prstGeom prst="rect">
                      <a:avLst/>
                    </a:prstGeom>
                  </pic:spPr>
                </pic:pic>
              </a:graphicData>
            </a:graphic>
          </wp:inline>
        </w:drawing>
      </w:r>
    </w:p>
    <w:p w14:paraId="03BA7EB7" w14:textId="77777777" w:rsidR="00090E1F" w:rsidRPr="00737D16" w:rsidRDefault="00090E1F" w:rsidP="00DE0FB8">
      <w:pPr>
        <w:rPr>
          <w:rFonts w:ascii="Calibri" w:hAnsi="Calibri" w:cs="Arial"/>
          <w:sz w:val="20"/>
          <w:szCs w:val="20"/>
        </w:rPr>
      </w:pPr>
    </w:p>
    <w:p w14:paraId="249BF385" w14:textId="77777777" w:rsidR="00F40D97" w:rsidRDefault="00CD5D81" w:rsidP="00DE0FB8">
      <w:r>
        <w:rPr>
          <w:noProof/>
        </w:rPr>
        <w:drawing>
          <wp:inline distT="0" distB="0" distL="0" distR="0" wp14:anchorId="54B4DDE9" wp14:editId="01E5CD67">
            <wp:extent cx="7199630" cy="1397635"/>
            <wp:effectExtent l="0" t="0" r="0" b="0"/>
            <wp:docPr id="7985054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505409" name="Image 79850540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99630" cy="1397635"/>
                    </a:xfrm>
                    <a:prstGeom prst="rect">
                      <a:avLst/>
                    </a:prstGeom>
                  </pic:spPr>
                </pic:pic>
              </a:graphicData>
            </a:graphic>
          </wp:inline>
        </w:drawing>
      </w:r>
    </w:p>
    <w:p w14:paraId="0DDA0245" w14:textId="77777777" w:rsidR="00F726C4" w:rsidRDefault="00F726C4" w:rsidP="00DE0FB8"/>
    <w:p w14:paraId="7F95D972" w14:textId="77777777" w:rsidR="00F726C4" w:rsidRDefault="00F726C4" w:rsidP="00DE0FB8"/>
    <w:p w14:paraId="32C3D616" w14:textId="77777777" w:rsidR="00F726C4" w:rsidRDefault="00F726C4" w:rsidP="00DE0FB8"/>
    <w:p w14:paraId="1DF8E495" w14:textId="77777777" w:rsidR="00F726C4" w:rsidRDefault="00F726C4" w:rsidP="00DE0FB8"/>
    <w:p w14:paraId="7065F2C1" w14:textId="77777777" w:rsidR="00F726C4" w:rsidRPr="00F726C4" w:rsidRDefault="00F726C4" w:rsidP="00F726C4">
      <w:pPr>
        <w:rPr>
          <w:color w:val="000000" w:themeColor="text1"/>
        </w:rPr>
      </w:pPr>
    </w:p>
    <w:p w14:paraId="121ED306" w14:textId="77777777" w:rsidR="00F726C4" w:rsidRPr="00F726C4" w:rsidRDefault="00F726C4" w:rsidP="00F726C4">
      <w:pPr>
        <w:rPr>
          <w:color w:val="000000" w:themeColor="text1"/>
        </w:rPr>
      </w:pPr>
    </w:p>
    <w:p w14:paraId="439238DD" w14:textId="77777777" w:rsidR="00F726C4" w:rsidRPr="00F726C4" w:rsidRDefault="00F726C4" w:rsidP="00F726C4">
      <w:pPr>
        <w:jc w:val="both"/>
        <w:rPr>
          <w:rFonts w:cs="Arial"/>
          <w:b/>
          <w:bCs/>
          <w:color w:val="000000" w:themeColor="text1"/>
          <w:sz w:val="18"/>
          <w:szCs w:val="30"/>
        </w:rPr>
      </w:pPr>
      <w:r w:rsidRPr="00F726C4">
        <w:rPr>
          <w:rFonts w:cs="Arial"/>
          <w:b/>
          <w:bCs/>
          <w:color w:val="000000" w:themeColor="text1"/>
          <w:sz w:val="18"/>
          <w:szCs w:val="30"/>
        </w:rPr>
        <w:t>Article L622-7 du Code de Commerce</w:t>
      </w:r>
    </w:p>
    <w:p w14:paraId="5B9C4C27" w14:textId="77777777" w:rsidR="00F726C4" w:rsidRPr="00F726C4" w:rsidRDefault="00F726C4" w:rsidP="00F726C4">
      <w:pPr>
        <w:pStyle w:val="NormalWeb"/>
        <w:spacing w:before="0" w:beforeAutospacing="0" w:after="0" w:afterAutospacing="0"/>
        <w:jc w:val="both"/>
        <w:rPr>
          <w:rFonts w:asciiTheme="minorHAnsi" w:hAnsiTheme="minorHAnsi"/>
          <w:color w:val="000000" w:themeColor="text1"/>
          <w:sz w:val="18"/>
        </w:rPr>
      </w:pPr>
      <w:r w:rsidRPr="00F726C4">
        <w:rPr>
          <w:rFonts w:asciiTheme="minorHAnsi" w:hAnsiTheme="minorHAnsi"/>
          <w:color w:val="000000" w:themeColor="text1"/>
          <w:sz w:val="18"/>
        </w:rPr>
        <w:t xml:space="preserve">I. - Le jugement ouvrant la procédure emporte, de plein droit, interdiction de payer toute créance née antérieurement au jugement d'ouverture, à l'exception du paiement par compensation de créances connexes. Il emporte également, de plein droit, interdiction de payer toute créance née après le jugement d'ouverture, non mentionnée au I de l'article </w:t>
      </w:r>
      <w:hyperlink r:id="rId11" w:history="1">
        <w:r w:rsidRPr="00F726C4">
          <w:rPr>
            <w:rStyle w:val="Lienhypertexte"/>
            <w:rFonts w:asciiTheme="minorHAnsi" w:hAnsiTheme="minorHAnsi"/>
            <w:color w:val="000000" w:themeColor="text1"/>
            <w:sz w:val="18"/>
            <w:u w:val="none"/>
          </w:rPr>
          <w:t>L. 622-17</w:t>
        </w:r>
      </w:hyperlink>
      <w:r w:rsidRPr="00F726C4">
        <w:rPr>
          <w:rFonts w:asciiTheme="minorHAnsi" w:hAnsiTheme="minorHAnsi"/>
          <w:color w:val="000000" w:themeColor="text1"/>
          <w:sz w:val="18"/>
        </w:rPr>
        <w:t>. Ces interdictions ne sont pas applicables au paiement des créances alimentaires.</w:t>
      </w:r>
    </w:p>
    <w:p w14:paraId="16225427" w14:textId="77777777" w:rsidR="00F726C4" w:rsidRPr="00F726C4" w:rsidRDefault="00F726C4" w:rsidP="00F726C4">
      <w:pPr>
        <w:pStyle w:val="NormalWeb"/>
        <w:spacing w:before="0" w:beforeAutospacing="0" w:after="0" w:afterAutospacing="0"/>
        <w:jc w:val="both"/>
        <w:rPr>
          <w:rFonts w:asciiTheme="minorHAnsi" w:hAnsiTheme="minorHAnsi"/>
          <w:color w:val="000000" w:themeColor="text1"/>
          <w:sz w:val="18"/>
        </w:rPr>
      </w:pPr>
      <w:r w:rsidRPr="00F726C4">
        <w:rPr>
          <w:rFonts w:asciiTheme="minorHAnsi" w:hAnsiTheme="minorHAnsi"/>
          <w:color w:val="000000" w:themeColor="text1"/>
          <w:sz w:val="18"/>
        </w:rPr>
        <w:t xml:space="preserve">De même, il emporte, de plein droit, inopposabilité du droit de rétention conféré par le </w:t>
      </w:r>
      <w:hyperlink r:id="rId12" w:history="1">
        <w:r w:rsidRPr="00F726C4">
          <w:rPr>
            <w:rStyle w:val="Lienhypertexte"/>
            <w:rFonts w:asciiTheme="minorHAnsi" w:hAnsiTheme="minorHAnsi"/>
            <w:color w:val="000000" w:themeColor="text1"/>
            <w:sz w:val="18"/>
            <w:u w:val="none"/>
          </w:rPr>
          <w:t xml:space="preserve">4° de l'article 2286 du code civil </w:t>
        </w:r>
      </w:hyperlink>
      <w:r w:rsidRPr="00F726C4">
        <w:rPr>
          <w:rFonts w:asciiTheme="minorHAnsi" w:hAnsiTheme="minorHAnsi"/>
          <w:color w:val="000000" w:themeColor="text1"/>
          <w:sz w:val="18"/>
        </w:rPr>
        <w:t xml:space="preserve">pendant la période d'observation et l'exécution du plan, sauf si le bien objet du gage est compris dans une cession d'activité décidée en application de l'article </w:t>
      </w:r>
      <w:hyperlink r:id="rId13" w:history="1">
        <w:r w:rsidRPr="00F726C4">
          <w:rPr>
            <w:rStyle w:val="Lienhypertexte"/>
            <w:rFonts w:asciiTheme="minorHAnsi" w:hAnsiTheme="minorHAnsi"/>
            <w:color w:val="000000" w:themeColor="text1"/>
            <w:sz w:val="18"/>
            <w:u w:val="none"/>
          </w:rPr>
          <w:t>L. 626-1</w:t>
        </w:r>
      </w:hyperlink>
      <w:r w:rsidRPr="00F726C4">
        <w:rPr>
          <w:rFonts w:asciiTheme="minorHAnsi" w:hAnsiTheme="minorHAnsi"/>
          <w:color w:val="000000" w:themeColor="text1"/>
          <w:sz w:val="18"/>
        </w:rPr>
        <w:t>.</w:t>
      </w:r>
    </w:p>
    <w:p w14:paraId="3E0329CB" w14:textId="77777777" w:rsidR="00F726C4" w:rsidRPr="00F726C4" w:rsidRDefault="00F726C4" w:rsidP="00F726C4">
      <w:pPr>
        <w:pStyle w:val="NormalWeb"/>
        <w:spacing w:before="0" w:beforeAutospacing="0" w:after="0" w:afterAutospacing="0"/>
        <w:jc w:val="both"/>
        <w:rPr>
          <w:rFonts w:asciiTheme="minorHAnsi" w:hAnsiTheme="minorHAnsi"/>
          <w:color w:val="000000" w:themeColor="text1"/>
          <w:sz w:val="18"/>
        </w:rPr>
      </w:pPr>
      <w:r w:rsidRPr="00F726C4">
        <w:rPr>
          <w:rFonts w:asciiTheme="minorHAnsi" w:hAnsiTheme="minorHAnsi"/>
          <w:color w:val="000000" w:themeColor="text1"/>
          <w:sz w:val="18"/>
        </w:rPr>
        <w:t>Il fait enfin obstacle à la conclusion et à la réalisation d'un pacte commissoire.</w:t>
      </w:r>
    </w:p>
    <w:p w14:paraId="1A67317B" w14:textId="77777777" w:rsidR="00F726C4" w:rsidRPr="00F726C4" w:rsidRDefault="00F726C4" w:rsidP="00F726C4">
      <w:pPr>
        <w:pStyle w:val="NormalWeb"/>
        <w:spacing w:before="0" w:beforeAutospacing="0" w:after="0" w:afterAutospacing="0"/>
        <w:jc w:val="both"/>
        <w:rPr>
          <w:rFonts w:asciiTheme="minorHAnsi" w:hAnsiTheme="minorHAnsi"/>
          <w:color w:val="000000" w:themeColor="text1"/>
          <w:sz w:val="18"/>
        </w:rPr>
      </w:pPr>
      <w:r w:rsidRPr="00F726C4">
        <w:rPr>
          <w:rFonts w:asciiTheme="minorHAnsi" w:hAnsiTheme="minorHAnsi"/>
          <w:color w:val="000000" w:themeColor="text1"/>
          <w:sz w:val="18"/>
        </w:rPr>
        <w:t>II. - Le juge-commissaire peut autoriser le débiteur à faire un acte de disposition étranger à la gestion courante de l'entreprise, à consentir une sûreté réelle conventionnelle en garantie d'une créance postérieure à l'ouverture de la procédure, à payer le transporteur exerçant une action au titre de l'article L. 132-8 du code de commerce ou à compromettre ou transiger. Néanmoins, si l'un de ces actes est susceptible d'avoir une incidence déterminante sur l'issue de la procédure, le juge-commissaire ne peut statuer qu'après avoir recueilli l'avis du ministère public.</w:t>
      </w:r>
    </w:p>
    <w:p w14:paraId="03E20245" w14:textId="77777777" w:rsidR="00F726C4" w:rsidRPr="00F726C4" w:rsidRDefault="00F726C4" w:rsidP="00F726C4">
      <w:pPr>
        <w:pStyle w:val="NormalWeb"/>
        <w:spacing w:before="0" w:beforeAutospacing="0" w:after="0" w:afterAutospacing="0"/>
        <w:jc w:val="both"/>
        <w:rPr>
          <w:rFonts w:asciiTheme="minorHAnsi" w:hAnsiTheme="minorHAnsi"/>
          <w:color w:val="000000" w:themeColor="text1"/>
          <w:sz w:val="18"/>
        </w:rPr>
      </w:pPr>
      <w:r w:rsidRPr="00F726C4">
        <w:rPr>
          <w:rFonts w:asciiTheme="minorHAnsi" w:hAnsiTheme="minorHAnsi"/>
          <w:color w:val="000000" w:themeColor="text1"/>
          <w:sz w:val="18"/>
        </w:rPr>
        <w:t>Après avoir recueilli les observations du ministère public, le juge-commissaire peut autoriser le débiteur à exercer le droit prévu à l'article 1699 du code civil. Il peut aussi l'autoriser à payer des créances antérieures au jugement, pour retirer le gage ou une chose légitimement retenue ou encore pour obtenir le retour de biens et droits transférés à titre de garantie dans un patrimoine fiduciaire, lorsque ce retrait ou ce retour est justifié par la poursuite de l'activité. Ce paiement peut en outre être autorisé pour lever l'option d'achat d'un contrat de crédit-bail, lorsque cette levée d'option est justifiée par la poursuite de l'activité.</w:t>
      </w:r>
    </w:p>
    <w:p w14:paraId="107DC897" w14:textId="77777777" w:rsidR="00F726C4" w:rsidRPr="00F726C4" w:rsidRDefault="00F726C4" w:rsidP="00F726C4">
      <w:pPr>
        <w:pStyle w:val="NormalWeb"/>
        <w:spacing w:before="0" w:beforeAutospacing="0" w:after="0" w:afterAutospacing="0"/>
        <w:jc w:val="both"/>
        <w:rPr>
          <w:rFonts w:asciiTheme="minorHAnsi" w:hAnsiTheme="minorHAnsi"/>
          <w:color w:val="000000" w:themeColor="text1"/>
          <w:sz w:val="18"/>
        </w:rPr>
      </w:pPr>
      <w:r w:rsidRPr="00F726C4">
        <w:rPr>
          <w:rFonts w:asciiTheme="minorHAnsi" w:hAnsiTheme="minorHAnsi"/>
          <w:color w:val="000000" w:themeColor="text1"/>
          <w:sz w:val="18"/>
        </w:rPr>
        <w:t>III. - Tout acte ou tout paiement passé en violation des dispositions du présent article est annulé à la demande de tout intéressé ou du ministère public, présentée dans un délai de trois ans à compter de la conclusion de l'acte ou du paiement de la créance. Lorsque l'acte est soumis à publicité, le délai court à compter de celle-ci.</w:t>
      </w:r>
    </w:p>
    <w:p w14:paraId="4485132F" w14:textId="77777777" w:rsidR="00F726C4" w:rsidRPr="003978B5" w:rsidRDefault="00F726C4" w:rsidP="00F726C4">
      <w:pPr>
        <w:jc w:val="both"/>
        <w:rPr>
          <w:rFonts w:cs="Arial"/>
          <w:sz w:val="18"/>
          <w:szCs w:val="26"/>
        </w:rPr>
      </w:pPr>
    </w:p>
    <w:p w14:paraId="403DD31B" w14:textId="77777777" w:rsidR="00F726C4" w:rsidRPr="003978B5" w:rsidRDefault="00F726C4" w:rsidP="00F726C4">
      <w:pPr>
        <w:jc w:val="both"/>
        <w:rPr>
          <w:rFonts w:cs="Arial"/>
          <w:b/>
          <w:bCs/>
          <w:sz w:val="18"/>
          <w:szCs w:val="30"/>
        </w:rPr>
      </w:pPr>
      <w:r w:rsidRPr="003978B5">
        <w:rPr>
          <w:rFonts w:cs="Arial"/>
          <w:b/>
          <w:bCs/>
          <w:sz w:val="18"/>
          <w:szCs w:val="30"/>
        </w:rPr>
        <w:t>Article L641-3 du Code de Commerce</w:t>
      </w:r>
    </w:p>
    <w:p w14:paraId="1ED89544" w14:textId="77777777" w:rsidR="00F726C4" w:rsidRPr="003978B5" w:rsidRDefault="00F726C4" w:rsidP="00F726C4">
      <w:pPr>
        <w:spacing w:beforeLines="1" w:before="2" w:afterLines="1" w:after="2"/>
        <w:jc w:val="both"/>
        <w:rPr>
          <w:rFonts w:cs="Times New Roman"/>
          <w:sz w:val="18"/>
          <w:szCs w:val="20"/>
        </w:rPr>
      </w:pPr>
      <w:r w:rsidRPr="003978B5">
        <w:rPr>
          <w:rFonts w:cs="Times New Roman"/>
          <w:sz w:val="18"/>
          <w:szCs w:val="20"/>
        </w:rPr>
        <w:t xml:space="preserve">Le jugement qui ouvre la liquidation judiciaire a les mêmes effets que ceux qui sont prévus en cas de sauvegarde par les premier et troisième alinéas du I et par le III de </w:t>
      </w:r>
      <w:hyperlink r:id="rId14" w:history="1">
        <w:r w:rsidRPr="003978B5">
          <w:rPr>
            <w:rFonts w:cs="Times New Roman"/>
            <w:sz w:val="18"/>
            <w:szCs w:val="20"/>
          </w:rPr>
          <w:t>l'article L. 622-7</w:t>
        </w:r>
      </w:hyperlink>
      <w:r w:rsidRPr="003978B5">
        <w:rPr>
          <w:rFonts w:cs="Times New Roman"/>
          <w:sz w:val="18"/>
          <w:szCs w:val="20"/>
        </w:rPr>
        <w:t xml:space="preserve">, par les </w:t>
      </w:r>
      <w:hyperlink r:id="rId15" w:history="1">
        <w:r w:rsidRPr="003978B5">
          <w:rPr>
            <w:rFonts w:cs="Times New Roman"/>
            <w:sz w:val="18"/>
            <w:szCs w:val="20"/>
          </w:rPr>
          <w:t>articles L. 622-21 et L. 622-22</w:t>
        </w:r>
      </w:hyperlink>
      <w:r w:rsidRPr="003978B5">
        <w:rPr>
          <w:rFonts w:cs="Times New Roman"/>
          <w:sz w:val="18"/>
          <w:szCs w:val="20"/>
        </w:rPr>
        <w:t xml:space="preserve">, par la première phrase de </w:t>
      </w:r>
      <w:hyperlink r:id="rId16" w:history="1">
        <w:r w:rsidRPr="003978B5">
          <w:rPr>
            <w:rFonts w:cs="Times New Roman"/>
            <w:sz w:val="18"/>
            <w:szCs w:val="20"/>
          </w:rPr>
          <w:t xml:space="preserve">l'article L. 622-28 </w:t>
        </w:r>
      </w:hyperlink>
      <w:r w:rsidRPr="003978B5">
        <w:rPr>
          <w:rFonts w:cs="Times New Roman"/>
          <w:sz w:val="18"/>
          <w:szCs w:val="20"/>
        </w:rPr>
        <w:t xml:space="preserve">et par </w:t>
      </w:r>
      <w:hyperlink r:id="rId17" w:history="1">
        <w:r w:rsidRPr="003978B5">
          <w:rPr>
            <w:rFonts w:cs="Times New Roman"/>
            <w:sz w:val="18"/>
            <w:szCs w:val="20"/>
          </w:rPr>
          <w:t xml:space="preserve">l'article L. 622-30. </w:t>
        </w:r>
      </w:hyperlink>
    </w:p>
    <w:p w14:paraId="75E31F1A" w14:textId="77777777" w:rsidR="00F726C4" w:rsidRPr="003978B5" w:rsidRDefault="00F726C4" w:rsidP="00F726C4">
      <w:pPr>
        <w:spacing w:beforeLines="1" w:before="2" w:afterLines="1" w:after="2"/>
        <w:jc w:val="both"/>
        <w:rPr>
          <w:rFonts w:cs="Times New Roman"/>
          <w:sz w:val="18"/>
          <w:szCs w:val="20"/>
        </w:rPr>
      </w:pPr>
      <w:r w:rsidRPr="003978B5">
        <w:rPr>
          <w:rFonts w:cs="Times New Roman"/>
          <w:sz w:val="18"/>
          <w:szCs w:val="20"/>
        </w:rPr>
        <w:t xml:space="preserve">Le juge-commissaire peut autoriser le liquidateur ou l'administrateur lorsqu'il en a été désigné à payer des créances antérieures au jugement, pour retirer le gage ou la chose légitimement retenue ou encore pour lever l'option d'achat d'un contrat de crédit-bail. </w:t>
      </w:r>
    </w:p>
    <w:p w14:paraId="252D1AA3" w14:textId="77777777" w:rsidR="00F726C4" w:rsidRPr="003978B5" w:rsidRDefault="00F726C4" w:rsidP="00F726C4">
      <w:pPr>
        <w:spacing w:beforeLines="1" w:before="2" w:afterLines="1" w:after="2"/>
        <w:jc w:val="both"/>
        <w:rPr>
          <w:rFonts w:cs="Times New Roman"/>
          <w:sz w:val="18"/>
          <w:szCs w:val="20"/>
        </w:rPr>
      </w:pPr>
      <w:r w:rsidRPr="003978B5">
        <w:rPr>
          <w:rFonts w:cs="Times New Roman"/>
          <w:sz w:val="18"/>
          <w:szCs w:val="20"/>
        </w:rPr>
        <w:t xml:space="preserve">Lorsque les dirigeants de la personne morale débitrice ne respectent pas leurs obligations en matière d'arrêté et d'approbation des comptes annuels, le liquidateur peut saisir le président du tribunal aux fins de désignation d'un mandataire ad hoc. </w:t>
      </w:r>
    </w:p>
    <w:p w14:paraId="4E63B229" w14:textId="77777777" w:rsidR="00F726C4" w:rsidRPr="003978B5" w:rsidRDefault="00F726C4" w:rsidP="00F726C4">
      <w:pPr>
        <w:spacing w:beforeLines="1" w:before="2" w:afterLines="1" w:after="2"/>
        <w:jc w:val="both"/>
        <w:rPr>
          <w:rFonts w:cs="Times New Roman"/>
          <w:sz w:val="18"/>
          <w:szCs w:val="20"/>
        </w:rPr>
      </w:pPr>
      <w:r w:rsidRPr="003978B5">
        <w:rPr>
          <w:rFonts w:cs="Times New Roman"/>
          <w:sz w:val="18"/>
          <w:szCs w:val="20"/>
        </w:rPr>
        <w:t xml:space="preserve">Les créanciers déclarent leurs créances au liquidateur selon les modalités prévues aux </w:t>
      </w:r>
      <w:hyperlink r:id="rId18" w:history="1">
        <w:r w:rsidRPr="003978B5">
          <w:rPr>
            <w:rFonts w:cs="Times New Roman"/>
            <w:sz w:val="18"/>
            <w:szCs w:val="20"/>
          </w:rPr>
          <w:t xml:space="preserve">articles L. 622-24 à L. 622-27 </w:t>
        </w:r>
      </w:hyperlink>
      <w:r w:rsidRPr="003978B5">
        <w:rPr>
          <w:rFonts w:cs="Times New Roman"/>
          <w:sz w:val="18"/>
          <w:szCs w:val="20"/>
        </w:rPr>
        <w:t xml:space="preserve">et </w:t>
      </w:r>
      <w:hyperlink r:id="rId19" w:history="1">
        <w:r w:rsidRPr="003978B5">
          <w:rPr>
            <w:rFonts w:cs="Times New Roman"/>
            <w:sz w:val="18"/>
            <w:szCs w:val="20"/>
          </w:rPr>
          <w:t>L. 622-31 à L. 622-33</w:t>
        </w:r>
      </w:hyperlink>
      <w:r w:rsidRPr="003978B5">
        <w:rPr>
          <w:rFonts w:cs="Times New Roman"/>
          <w:sz w:val="18"/>
          <w:szCs w:val="20"/>
        </w:rPr>
        <w:t xml:space="preserve">. Si la détermination de l'assiette et du calcul de l'impôt est en cours, l'établissement définitif des créances du Trésor public admises à titre provisionnel doit être effectué par l'émission du titre exécutoire dans le délai prévu à l'article </w:t>
      </w:r>
      <w:hyperlink r:id="rId20" w:history="1">
        <w:r w:rsidRPr="003978B5">
          <w:rPr>
            <w:rFonts w:cs="Times New Roman"/>
            <w:sz w:val="18"/>
            <w:szCs w:val="20"/>
          </w:rPr>
          <w:t>L. 624-1</w:t>
        </w:r>
      </w:hyperlink>
      <w:r w:rsidRPr="003978B5">
        <w:rPr>
          <w:rFonts w:cs="Times New Roman"/>
          <w:sz w:val="18"/>
          <w:szCs w:val="20"/>
        </w:rPr>
        <w:t xml:space="preserve">. Toutefois, si une procédure de contrôle ou de rectification de l'impôt a été engagée, l'établissement définitif, l'établissement définitif des créances qui en font l'objet doit être réalisé avant le dépôt au greffe du compte rendu de fin de mission par le liquidateur. Le délai de cet établissement définitif est suspendu par la saisine de l'une des commissions ou du comité mentionnés à l'article </w:t>
      </w:r>
      <w:hyperlink r:id="rId21" w:history="1">
        <w:r w:rsidRPr="003978B5">
          <w:rPr>
            <w:rFonts w:cs="Times New Roman"/>
            <w:sz w:val="18"/>
            <w:szCs w:val="20"/>
          </w:rPr>
          <w:t xml:space="preserve">L. 59 </w:t>
        </w:r>
      </w:hyperlink>
      <w:r w:rsidRPr="003978B5">
        <w:rPr>
          <w:rFonts w:cs="Times New Roman"/>
          <w:sz w:val="18"/>
          <w:szCs w:val="20"/>
        </w:rPr>
        <w:t>du livre des procédures fiscales jusqu'à la date de réception par le contribuable ou son représentant de l'avis de cette commission ou celle d'un désistement.</w:t>
      </w:r>
    </w:p>
    <w:p w14:paraId="61B6ABA7" w14:textId="77777777" w:rsidR="00F726C4" w:rsidRPr="003978B5" w:rsidRDefault="00F726C4" w:rsidP="00F726C4">
      <w:pPr>
        <w:ind w:right="66"/>
        <w:jc w:val="both"/>
        <w:rPr>
          <w:rFonts w:cs="Palatino"/>
          <w:sz w:val="18"/>
        </w:rPr>
      </w:pPr>
    </w:p>
    <w:p w14:paraId="37E420ED" w14:textId="77777777" w:rsidR="00F726C4" w:rsidRPr="003978B5" w:rsidRDefault="00F726C4" w:rsidP="00F726C4">
      <w:pPr>
        <w:jc w:val="both"/>
        <w:rPr>
          <w:rFonts w:cs="Arial"/>
          <w:b/>
          <w:bCs/>
          <w:sz w:val="18"/>
          <w:szCs w:val="30"/>
        </w:rPr>
      </w:pPr>
      <w:r w:rsidRPr="003978B5">
        <w:rPr>
          <w:rFonts w:cs="Arial"/>
          <w:b/>
          <w:bCs/>
          <w:sz w:val="18"/>
          <w:szCs w:val="30"/>
        </w:rPr>
        <w:t>Article R 621-4 du Code de Commerce</w:t>
      </w:r>
    </w:p>
    <w:p w14:paraId="45CFF638" w14:textId="77777777" w:rsidR="00F726C4" w:rsidRPr="003978B5" w:rsidRDefault="00F726C4" w:rsidP="00F726C4">
      <w:pPr>
        <w:jc w:val="both"/>
        <w:rPr>
          <w:rFonts w:cs="Arial"/>
          <w:sz w:val="18"/>
          <w:szCs w:val="26"/>
        </w:rPr>
      </w:pPr>
      <w:r w:rsidRPr="003978B5">
        <w:rPr>
          <w:rFonts w:cs="Arial"/>
          <w:sz w:val="18"/>
          <w:szCs w:val="26"/>
        </w:rPr>
        <w:t>Le tribunal statue, le cas échéant, sur le rapport du juge commis. Celui-ci ne peut siéger ni participer au délibéré. Si le jugement ne peut être rendu sur-le-champ, le prononcé en est renvoyé à une prochaine audience dont la date est communiquée, lors de l'audience, au débiteur.</w:t>
      </w:r>
    </w:p>
    <w:p w14:paraId="56259F2E" w14:textId="77777777" w:rsidR="00F726C4" w:rsidRPr="003978B5" w:rsidRDefault="00F726C4" w:rsidP="00F726C4">
      <w:pPr>
        <w:jc w:val="both"/>
        <w:rPr>
          <w:rFonts w:cs="Arial"/>
          <w:sz w:val="18"/>
          <w:szCs w:val="26"/>
        </w:rPr>
      </w:pPr>
      <w:r w:rsidRPr="003978B5">
        <w:rPr>
          <w:rFonts w:cs="Arial"/>
          <w:sz w:val="18"/>
          <w:szCs w:val="26"/>
        </w:rPr>
        <w:t>Le jugement d'ouverture de la procédure prend effet à compter de sa date.</w:t>
      </w:r>
    </w:p>
    <w:p w14:paraId="7C588392" w14:textId="77777777" w:rsidR="00F726C4" w:rsidRPr="003978B5" w:rsidRDefault="00F726C4" w:rsidP="00F726C4">
      <w:pPr>
        <w:jc w:val="both"/>
        <w:rPr>
          <w:rFonts w:cs="Arial"/>
          <w:sz w:val="18"/>
          <w:szCs w:val="26"/>
        </w:rPr>
      </w:pPr>
    </w:p>
    <w:p w14:paraId="6ABC6C67" w14:textId="77777777" w:rsidR="00F726C4" w:rsidRPr="003978B5" w:rsidRDefault="00F726C4" w:rsidP="00F726C4">
      <w:pPr>
        <w:jc w:val="both"/>
        <w:rPr>
          <w:rFonts w:cs="Arial"/>
          <w:b/>
          <w:bCs/>
          <w:sz w:val="18"/>
          <w:szCs w:val="30"/>
        </w:rPr>
      </w:pPr>
      <w:r w:rsidRPr="003978B5">
        <w:rPr>
          <w:rFonts w:cs="Arial"/>
          <w:b/>
          <w:bCs/>
          <w:sz w:val="18"/>
          <w:szCs w:val="30"/>
        </w:rPr>
        <w:t>Article R 641-1 du Code de Commerce</w:t>
      </w:r>
    </w:p>
    <w:p w14:paraId="599788B4" w14:textId="77777777" w:rsidR="00F726C4" w:rsidRPr="003978B5" w:rsidRDefault="00F726C4" w:rsidP="00F726C4">
      <w:pPr>
        <w:ind w:right="66"/>
        <w:jc w:val="both"/>
        <w:rPr>
          <w:rFonts w:cs="Arial"/>
          <w:sz w:val="18"/>
          <w:szCs w:val="26"/>
        </w:rPr>
      </w:pPr>
      <w:r w:rsidRPr="003978B5">
        <w:rPr>
          <w:rFonts w:cs="Arial"/>
          <w:sz w:val="18"/>
          <w:szCs w:val="26"/>
        </w:rPr>
        <w:t xml:space="preserve">Les dispositions des articles </w:t>
      </w:r>
      <w:hyperlink r:id="rId22" w:history="1">
        <w:r w:rsidRPr="003978B5">
          <w:rPr>
            <w:rFonts w:cs="Arial"/>
            <w:sz w:val="18"/>
            <w:szCs w:val="26"/>
            <w:u w:color="285287"/>
          </w:rPr>
          <w:t>R. 621-2 à R. 621-4</w:t>
        </w:r>
      </w:hyperlink>
      <w:r w:rsidRPr="003978B5">
        <w:rPr>
          <w:rFonts w:cs="Arial"/>
          <w:sz w:val="18"/>
          <w:szCs w:val="26"/>
        </w:rPr>
        <w:t xml:space="preserve">, R. 621-7, R. 621-7-1, R. 621-8-1, à l'exception du dernier alinéa, R. 621-8-2, R. 621-10 et </w:t>
      </w:r>
      <w:hyperlink r:id="rId23" w:history="1">
        <w:r w:rsidRPr="003978B5">
          <w:rPr>
            <w:rFonts w:cs="Arial"/>
            <w:sz w:val="18"/>
            <w:szCs w:val="26"/>
            <w:u w:color="285287"/>
          </w:rPr>
          <w:t>R. 621-12 à R. 621-16</w:t>
        </w:r>
      </w:hyperlink>
      <w:r w:rsidRPr="003978B5">
        <w:rPr>
          <w:rFonts w:cs="Arial"/>
          <w:sz w:val="18"/>
          <w:szCs w:val="26"/>
        </w:rPr>
        <w:t xml:space="preserve">, ainsi que l'article </w:t>
      </w:r>
      <w:hyperlink r:id="rId24" w:history="1">
        <w:r w:rsidRPr="003978B5">
          <w:rPr>
            <w:rFonts w:cs="Arial"/>
            <w:sz w:val="18"/>
            <w:szCs w:val="26"/>
            <w:u w:color="285287"/>
          </w:rPr>
          <w:t>R. 631-7-1</w:t>
        </w:r>
      </w:hyperlink>
      <w:r w:rsidRPr="003978B5">
        <w:rPr>
          <w:rFonts w:cs="Arial"/>
          <w:sz w:val="18"/>
          <w:szCs w:val="26"/>
        </w:rPr>
        <w:t>, sont applicables à la procédure de liquidation judiciaire sous réserve des dispositions de la présente section.</w:t>
      </w:r>
    </w:p>
    <w:p w14:paraId="256440B4" w14:textId="77777777" w:rsidR="00F726C4" w:rsidRPr="003978B5" w:rsidRDefault="00F726C4" w:rsidP="00F726C4">
      <w:pPr>
        <w:jc w:val="both"/>
        <w:rPr>
          <w:rFonts w:cs="Arial"/>
          <w:sz w:val="18"/>
          <w:szCs w:val="26"/>
        </w:rPr>
      </w:pPr>
    </w:p>
    <w:p w14:paraId="1212EEAB" w14:textId="77777777" w:rsidR="00F726C4" w:rsidRPr="003978B5" w:rsidRDefault="00F726C4" w:rsidP="00F726C4">
      <w:pPr>
        <w:rPr>
          <w:rFonts w:cs="Times New Roman"/>
          <w:sz w:val="20"/>
          <w:szCs w:val="20"/>
        </w:rPr>
      </w:pPr>
    </w:p>
    <w:p w14:paraId="7B5ACF37" w14:textId="77777777" w:rsidR="00F726C4" w:rsidRPr="00090E1F" w:rsidRDefault="00F726C4" w:rsidP="00DE0FB8"/>
    <w:sectPr w:rsidR="00F726C4" w:rsidRPr="00090E1F" w:rsidSect="00D24E36">
      <w:headerReference w:type="even" r:id="rId25"/>
      <w:headerReference w:type="default" r:id="rId26"/>
      <w:footerReference w:type="default" r:id="rId27"/>
      <w:headerReference w:type="first" r:id="rId28"/>
      <w:pgSz w:w="11906" w:h="16838"/>
      <w:pgMar w:top="284" w:right="284" w:bottom="284" w:left="284"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F843A5" w14:textId="77777777" w:rsidR="00F9684B" w:rsidRDefault="00F9684B" w:rsidP="00B62C74">
      <w:r>
        <w:separator/>
      </w:r>
    </w:p>
  </w:endnote>
  <w:endnote w:type="continuationSeparator" w:id="0">
    <w:p w14:paraId="436F4CBC" w14:textId="77777777" w:rsidR="00F9684B" w:rsidRDefault="00F9684B" w:rsidP="00B62C74">
      <w:r>
        <w:continuationSeparator/>
      </w:r>
    </w:p>
  </w:endnote>
  <w:endnote w:type="continuationNotice" w:id="1">
    <w:p w14:paraId="5E650C87" w14:textId="77777777" w:rsidR="00F9684B" w:rsidRDefault="00F968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Palatino">
    <w:panose1 w:val="00000000000000000000"/>
    <w:charset w:val="4D"/>
    <w:family w:val="auto"/>
    <w:pitch w:val="variable"/>
    <w:sig w:usb0="A00002FF" w:usb1="7800205A" w:usb2="14600000" w:usb3="00000000" w:csb0="00000193"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3B7393" w14:textId="77777777" w:rsidR="00B62C74" w:rsidRPr="00A2670E" w:rsidRDefault="00D4363A" w:rsidP="00D4363A">
    <w:pPr>
      <w:pStyle w:val="Paragraphestandard"/>
      <w:jc w:val="center"/>
      <w:rPr>
        <w:rFonts w:ascii="Calibri" w:hAnsi="Calibri" w:cs="Calibri"/>
        <w:color w:val="868284"/>
        <w:spacing w:val="3"/>
        <w:sz w:val="12"/>
        <w:szCs w:val="12"/>
      </w:rPr>
    </w:pPr>
    <w:r w:rsidRPr="00A2670E">
      <w:rPr>
        <w:rFonts w:ascii="Calibri" w:hAnsi="Calibri" w:cs="Calibri"/>
        <w:spacing w:val="-1"/>
        <w:sz w:val="12"/>
        <w:szCs w:val="12"/>
      </w:rPr>
      <w:t>Membre d’une association agréée par l’administration fiscale acceptant à ce titre le règlement des honoraires par chèque libellé à son nom.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C1BC07" w14:textId="77777777" w:rsidR="00F9684B" w:rsidRDefault="00F9684B" w:rsidP="00B62C74">
      <w:r>
        <w:separator/>
      </w:r>
    </w:p>
  </w:footnote>
  <w:footnote w:type="continuationSeparator" w:id="0">
    <w:p w14:paraId="5B99ED2F" w14:textId="77777777" w:rsidR="00F9684B" w:rsidRDefault="00F9684B" w:rsidP="00B62C74">
      <w:r>
        <w:continuationSeparator/>
      </w:r>
    </w:p>
  </w:footnote>
  <w:footnote w:type="continuationNotice" w:id="1">
    <w:p w14:paraId="49FE75B2" w14:textId="77777777" w:rsidR="00F9684B" w:rsidRDefault="00F968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5DF78E" w14:textId="77777777" w:rsidR="00D5333E" w:rsidRDefault="00F9684B">
    <w:pPr>
      <w:pStyle w:val="En-tte"/>
    </w:pPr>
    <w:r>
      <w:rPr>
        <w:noProof/>
      </w:rPr>
      <w:pict w14:anchorId="475E51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1095098" o:spid="_x0000_s1030" type="#_x0000_t75" alt="" style="position:absolute;margin-left:0;margin-top:0;width:566.65pt;height:662.65pt;z-index:-251652094;mso-wrap-edited:f;mso-width-percent:0;mso-height-percent:0;mso-position-horizontal:center;mso-position-horizontal-relative:margin;mso-position-vertical:center;mso-position-vertical-relative:margin;mso-width-percent:0;mso-height-percent:0" o:allowincell="f">
          <v:imagedata r:id="rId1" o:title="filigrane"/>
          <w10:wrap anchorx="margin" anchory="margin"/>
        </v:shape>
      </w:pict>
    </w:r>
    <w:r>
      <w:rPr>
        <w:noProof/>
      </w:rPr>
      <w:pict w14:anchorId="1212A808">
        <v:shape id="WordPictureWatermark1804313893" o:spid="_x0000_s1029" type="#_x0000_t75" alt="" style="position:absolute;margin-left:0;margin-top:0;width:481.1pt;height:680.55pt;z-index:-251658238;mso-wrap-edited:f;mso-width-percent:0;mso-height-percent:0;mso-position-horizontal:center;mso-position-horizontal-relative:margin;mso-position-vertical:center;mso-position-vertical-relative:margin;mso-width-percent:0;mso-height-percent:0" o:allowincell="f">
          <v:imagedata r:id="rId2" o:title="filigrane-noir"/>
          <w10:wrap anchorx="margin" anchory="margin"/>
        </v:shape>
      </w:pict>
    </w:r>
    <w:r>
      <w:rPr>
        <w:noProof/>
      </w:rPr>
      <w:pict w14:anchorId="62ABC9ED">
        <v:shape id="WordPictureWatermark1804227427" o:spid="_x0000_s1028" type="#_x0000_t75" alt="" style="position:absolute;margin-left:0;margin-top:0;width:481.1pt;height:680.55pt;z-index:-251658239;mso-wrap-edited:f;mso-width-percent:0;mso-height-percent:0;mso-position-horizontal:center;mso-position-horizontal-relative:margin;mso-position-vertical:center;mso-position-vertical-relative:margin;mso-width-percent:0;mso-height-percent:0" o:allowincell="f">
          <v:imagedata r:id="rId2" o:title="filigrane-noir"/>
          <w10:wrap anchorx="margin" anchory="margin"/>
        </v:shape>
      </w:pict>
    </w:r>
    <w:r>
      <w:rPr>
        <w:noProof/>
      </w:rPr>
      <w:pict w14:anchorId="64075224">
        <v:shape id="WordPictureWatermark1803931523" o:spid="_x0000_s1027" type="#_x0000_t75" alt="" style="position:absolute;margin-left:0;margin-top:0;width:481.1pt;height:680.55pt;z-index:-251658240;mso-wrap-edited:f;mso-width-percent:0;mso-height-percent:0;mso-position-horizontal:center;mso-position-horizontal-relative:margin;mso-position-vertical:center;mso-position-vertical-relative:margin;mso-width-percent:0;mso-height-percent:0" o:allowincell="f">
          <v:imagedata r:id="rId3" o:title="filigran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FE90A1" w14:textId="77777777" w:rsidR="00C84B38" w:rsidRDefault="00F9684B">
    <w:pPr>
      <w:pStyle w:val="En-tte"/>
    </w:pPr>
    <w:r>
      <w:rPr>
        <w:noProof/>
      </w:rPr>
      <w:pict w14:anchorId="4C82D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1095099" o:spid="_x0000_s1026" type="#_x0000_t75" alt="" style="position:absolute;margin-left:13.05pt;margin-top:163pt;width:566.65pt;height:662.65pt;z-index:-251649022;mso-wrap-edited:f;mso-width-percent:0;mso-height-percent:0;mso-position-horizontal-relative:margin;mso-position-vertical-relative:margin;mso-width-percent:0;mso-height-percent:0" o:allowincell="f">
          <v:imagedata r:id="rId1" o:title="filigran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13255B" w14:textId="77777777" w:rsidR="00D5333E" w:rsidRDefault="00F9684B">
    <w:pPr>
      <w:pStyle w:val="En-tte"/>
    </w:pPr>
    <w:r>
      <w:rPr>
        <w:noProof/>
      </w:rPr>
      <w:pict w14:anchorId="238BCF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1095097" o:spid="_x0000_s1025" type="#_x0000_t75" alt="" style="position:absolute;margin-left:0;margin-top:0;width:566.65pt;height:662.65pt;z-index:-251655166;mso-wrap-edited:f;mso-width-percent:0;mso-height-percent:0;mso-position-horizontal:center;mso-position-horizontal-relative:margin;mso-position-vertical:center;mso-position-vertical-relative:margin;mso-width-percent:0;mso-height-percent:0" o:allowincell="f">
          <v:imagedata r:id="rId1" o:title="filigran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684D3A"/>
    <w:multiLevelType w:val="hybridMultilevel"/>
    <w:tmpl w:val="58A077D2"/>
    <w:lvl w:ilvl="0" w:tplc="476674F2">
      <w:start w:val="1"/>
      <w:numFmt w:val="bullet"/>
      <w:lvlText w:val=""/>
      <w:lvlJc w:val="left"/>
      <w:pPr>
        <w:ind w:left="720" w:hanging="360"/>
      </w:pPr>
      <w:rPr>
        <w:rFonts w:ascii="Symbol" w:hAnsi="Symbol" w:hint="default"/>
      </w:rPr>
    </w:lvl>
    <w:lvl w:ilvl="1" w:tplc="E10878C6">
      <w:start w:val="1"/>
      <w:numFmt w:val="bullet"/>
      <w:lvlText w:val="o"/>
      <w:lvlJc w:val="left"/>
      <w:pPr>
        <w:ind w:left="1440" w:hanging="360"/>
      </w:pPr>
      <w:rPr>
        <w:rFonts w:ascii="Courier New" w:hAnsi="Courier New" w:hint="default"/>
      </w:rPr>
    </w:lvl>
    <w:lvl w:ilvl="2" w:tplc="C9AA31B4">
      <w:start w:val="1"/>
      <w:numFmt w:val="bullet"/>
      <w:lvlText w:val=""/>
      <w:lvlJc w:val="left"/>
      <w:pPr>
        <w:ind w:left="2160" w:hanging="360"/>
      </w:pPr>
      <w:rPr>
        <w:rFonts w:ascii="Wingdings" w:hAnsi="Wingdings" w:hint="default"/>
      </w:rPr>
    </w:lvl>
    <w:lvl w:ilvl="3" w:tplc="0E74F57A">
      <w:start w:val="1"/>
      <w:numFmt w:val="bullet"/>
      <w:lvlText w:val=""/>
      <w:lvlJc w:val="left"/>
      <w:pPr>
        <w:ind w:left="2880" w:hanging="360"/>
      </w:pPr>
      <w:rPr>
        <w:rFonts w:ascii="Symbol" w:hAnsi="Symbol" w:hint="default"/>
      </w:rPr>
    </w:lvl>
    <w:lvl w:ilvl="4" w:tplc="DB40E630">
      <w:start w:val="1"/>
      <w:numFmt w:val="bullet"/>
      <w:lvlText w:val="o"/>
      <w:lvlJc w:val="left"/>
      <w:pPr>
        <w:ind w:left="3600" w:hanging="360"/>
      </w:pPr>
      <w:rPr>
        <w:rFonts w:ascii="Courier New" w:hAnsi="Courier New" w:hint="default"/>
      </w:rPr>
    </w:lvl>
    <w:lvl w:ilvl="5" w:tplc="4ECC3A96">
      <w:start w:val="1"/>
      <w:numFmt w:val="bullet"/>
      <w:lvlText w:val=""/>
      <w:lvlJc w:val="left"/>
      <w:pPr>
        <w:ind w:left="4320" w:hanging="360"/>
      </w:pPr>
      <w:rPr>
        <w:rFonts w:ascii="Wingdings" w:hAnsi="Wingdings" w:hint="default"/>
      </w:rPr>
    </w:lvl>
    <w:lvl w:ilvl="6" w:tplc="E7485C38">
      <w:start w:val="1"/>
      <w:numFmt w:val="bullet"/>
      <w:lvlText w:val=""/>
      <w:lvlJc w:val="left"/>
      <w:pPr>
        <w:ind w:left="5040" w:hanging="360"/>
      </w:pPr>
      <w:rPr>
        <w:rFonts w:ascii="Symbol" w:hAnsi="Symbol" w:hint="default"/>
      </w:rPr>
    </w:lvl>
    <w:lvl w:ilvl="7" w:tplc="4D3A34E8">
      <w:start w:val="1"/>
      <w:numFmt w:val="bullet"/>
      <w:lvlText w:val="o"/>
      <w:lvlJc w:val="left"/>
      <w:pPr>
        <w:ind w:left="5760" w:hanging="360"/>
      </w:pPr>
      <w:rPr>
        <w:rFonts w:ascii="Courier New" w:hAnsi="Courier New" w:hint="default"/>
      </w:rPr>
    </w:lvl>
    <w:lvl w:ilvl="8" w:tplc="266E9116">
      <w:start w:val="1"/>
      <w:numFmt w:val="bullet"/>
      <w:lvlText w:val=""/>
      <w:lvlJc w:val="left"/>
      <w:pPr>
        <w:ind w:left="6480" w:hanging="360"/>
      </w:pPr>
      <w:rPr>
        <w:rFonts w:ascii="Wingdings" w:hAnsi="Wingdings" w:hint="default"/>
      </w:rPr>
    </w:lvl>
  </w:abstractNum>
  <w:num w:numId="1" w16cid:durableId="1088143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B62C74"/>
    <w:rsid w:val="0002533D"/>
    <w:rsid w:val="00062C84"/>
    <w:rsid w:val="0008755B"/>
    <w:rsid w:val="00090E1F"/>
    <w:rsid w:val="000B6ED0"/>
    <w:rsid w:val="000E41EE"/>
    <w:rsid w:val="000E5063"/>
    <w:rsid w:val="000F35BF"/>
    <w:rsid w:val="00103E97"/>
    <w:rsid w:val="001122D0"/>
    <w:rsid w:val="00130F47"/>
    <w:rsid w:val="00166B19"/>
    <w:rsid w:val="001A1F93"/>
    <w:rsid w:val="001C4FB8"/>
    <w:rsid w:val="001E50F6"/>
    <w:rsid w:val="002159EB"/>
    <w:rsid w:val="00243410"/>
    <w:rsid w:val="0024601F"/>
    <w:rsid w:val="002868FA"/>
    <w:rsid w:val="002953B9"/>
    <w:rsid w:val="002A1E4D"/>
    <w:rsid w:val="002B7E82"/>
    <w:rsid w:val="002D2D67"/>
    <w:rsid w:val="002E6267"/>
    <w:rsid w:val="002E7F8E"/>
    <w:rsid w:val="00313D8A"/>
    <w:rsid w:val="00363F03"/>
    <w:rsid w:val="00387408"/>
    <w:rsid w:val="00391665"/>
    <w:rsid w:val="003B49FA"/>
    <w:rsid w:val="003C29DF"/>
    <w:rsid w:val="003E08E5"/>
    <w:rsid w:val="00404926"/>
    <w:rsid w:val="0041642A"/>
    <w:rsid w:val="004242C5"/>
    <w:rsid w:val="00493940"/>
    <w:rsid w:val="0049550B"/>
    <w:rsid w:val="004C684B"/>
    <w:rsid w:val="004E1ECC"/>
    <w:rsid w:val="00502690"/>
    <w:rsid w:val="0057599B"/>
    <w:rsid w:val="00583A22"/>
    <w:rsid w:val="00593478"/>
    <w:rsid w:val="005A25F5"/>
    <w:rsid w:val="005C1A52"/>
    <w:rsid w:val="005C3690"/>
    <w:rsid w:val="005E2D91"/>
    <w:rsid w:val="005E5C69"/>
    <w:rsid w:val="005E7C2B"/>
    <w:rsid w:val="005F1A2E"/>
    <w:rsid w:val="005F275F"/>
    <w:rsid w:val="005F38F5"/>
    <w:rsid w:val="00604057"/>
    <w:rsid w:val="00604533"/>
    <w:rsid w:val="00626F3A"/>
    <w:rsid w:val="00634447"/>
    <w:rsid w:val="00647CF4"/>
    <w:rsid w:val="0065071D"/>
    <w:rsid w:val="00654F19"/>
    <w:rsid w:val="00690C6F"/>
    <w:rsid w:val="006B67FE"/>
    <w:rsid w:val="006C539B"/>
    <w:rsid w:val="006F1679"/>
    <w:rsid w:val="00722D7E"/>
    <w:rsid w:val="00724B9A"/>
    <w:rsid w:val="00724CD0"/>
    <w:rsid w:val="00794FC7"/>
    <w:rsid w:val="007B4F6A"/>
    <w:rsid w:val="007C2953"/>
    <w:rsid w:val="007F34C3"/>
    <w:rsid w:val="00812021"/>
    <w:rsid w:val="0081265E"/>
    <w:rsid w:val="0082086B"/>
    <w:rsid w:val="008564C4"/>
    <w:rsid w:val="00867DAE"/>
    <w:rsid w:val="008A0250"/>
    <w:rsid w:val="008A3B24"/>
    <w:rsid w:val="008C22BD"/>
    <w:rsid w:val="008C4446"/>
    <w:rsid w:val="008E6644"/>
    <w:rsid w:val="008F74C8"/>
    <w:rsid w:val="0090589E"/>
    <w:rsid w:val="00927DE1"/>
    <w:rsid w:val="009574B3"/>
    <w:rsid w:val="00961358"/>
    <w:rsid w:val="00986FBB"/>
    <w:rsid w:val="00992A33"/>
    <w:rsid w:val="009A7C08"/>
    <w:rsid w:val="009C00BC"/>
    <w:rsid w:val="009C0DFB"/>
    <w:rsid w:val="009F0D32"/>
    <w:rsid w:val="00A2670E"/>
    <w:rsid w:val="00A51128"/>
    <w:rsid w:val="00A53AD9"/>
    <w:rsid w:val="00A56022"/>
    <w:rsid w:val="00A71714"/>
    <w:rsid w:val="00A96F65"/>
    <w:rsid w:val="00AF481A"/>
    <w:rsid w:val="00B13DE6"/>
    <w:rsid w:val="00B24481"/>
    <w:rsid w:val="00B359C2"/>
    <w:rsid w:val="00B559F2"/>
    <w:rsid w:val="00B62C74"/>
    <w:rsid w:val="00B643F7"/>
    <w:rsid w:val="00B76D77"/>
    <w:rsid w:val="00B77B27"/>
    <w:rsid w:val="00BB3E95"/>
    <w:rsid w:val="00BC26D6"/>
    <w:rsid w:val="00BD20BB"/>
    <w:rsid w:val="00BD59B8"/>
    <w:rsid w:val="00BF4EA0"/>
    <w:rsid w:val="00C0526A"/>
    <w:rsid w:val="00C276E9"/>
    <w:rsid w:val="00C3400A"/>
    <w:rsid w:val="00C76A2B"/>
    <w:rsid w:val="00C84B38"/>
    <w:rsid w:val="00CA13F7"/>
    <w:rsid w:val="00CD5D81"/>
    <w:rsid w:val="00CF5243"/>
    <w:rsid w:val="00CF5C87"/>
    <w:rsid w:val="00D24111"/>
    <w:rsid w:val="00D24E36"/>
    <w:rsid w:val="00D4363A"/>
    <w:rsid w:val="00D5333E"/>
    <w:rsid w:val="00D958AE"/>
    <w:rsid w:val="00DB112A"/>
    <w:rsid w:val="00DB73D2"/>
    <w:rsid w:val="00DE0FB8"/>
    <w:rsid w:val="00E13AD7"/>
    <w:rsid w:val="00E13CBF"/>
    <w:rsid w:val="00E63BB0"/>
    <w:rsid w:val="00EB7EA5"/>
    <w:rsid w:val="00F12698"/>
    <w:rsid w:val="00F40D97"/>
    <w:rsid w:val="00F72692"/>
    <w:rsid w:val="00F726C4"/>
    <w:rsid w:val="00F938B3"/>
    <w:rsid w:val="00F9684B"/>
    <w:rsid w:val="00FF08E0"/>
    <w:rsid w:val="033BAD16"/>
    <w:rsid w:val="1C8D35EC"/>
    <w:rsid w:val="1EA10399"/>
    <w:rsid w:val="297A323F"/>
    <w:rsid w:val="2BFB4C48"/>
    <w:rsid w:val="3F635DF0"/>
    <w:rsid w:val="3F996D73"/>
    <w:rsid w:val="3F9B521E"/>
    <w:rsid w:val="42FF0A2B"/>
    <w:rsid w:val="688D920B"/>
    <w:rsid w:val="79A6BB61"/>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BD0AE"/>
  <w15:docId w15:val="{F495C5BD-C9FF-F543-A63B-F6D7DA88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64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standard">
    <w:name w:val="[Paragraphe standard]"/>
    <w:basedOn w:val="Normal"/>
    <w:uiPriority w:val="99"/>
    <w:rsid w:val="00B62C74"/>
    <w:pPr>
      <w:autoSpaceDE w:val="0"/>
      <w:autoSpaceDN w:val="0"/>
      <w:adjustRightInd w:val="0"/>
      <w:spacing w:line="288" w:lineRule="auto"/>
      <w:textAlignment w:val="center"/>
    </w:pPr>
    <w:rPr>
      <w:rFonts w:ascii="MinionPro-Regular" w:hAnsi="MinionPro-Regular" w:cs="MinionPro-Regular"/>
      <w:color w:val="000000"/>
    </w:rPr>
  </w:style>
  <w:style w:type="paragraph" w:styleId="En-tte">
    <w:name w:val="header"/>
    <w:basedOn w:val="Normal"/>
    <w:link w:val="En-tteCar"/>
    <w:uiPriority w:val="99"/>
    <w:unhideWhenUsed/>
    <w:rsid w:val="00B62C74"/>
    <w:pPr>
      <w:tabs>
        <w:tab w:val="center" w:pos="4536"/>
        <w:tab w:val="right" w:pos="9072"/>
      </w:tabs>
    </w:pPr>
  </w:style>
  <w:style w:type="character" w:customStyle="1" w:styleId="En-tteCar">
    <w:name w:val="En-tête Car"/>
    <w:basedOn w:val="Policepardfaut"/>
    <w:link w:val="En-tte"/>
    <w:uiPriority w:val="99"/>
    <w:rsid w:val="00B62C74"/>
  </w:style>
  <w:style w:type="paragraph" w:styleId="Pieddepage">
    <w:name w:val="footer"/>
    <w:basedOn w:val="Normal"/>
    <w:link w:val="PieddepageCar"/>
    <w:uiPriority w:val="99"/>
    <w:unhideWhenUsed/>
    <w:rsid w:val="00B62C74"/>
    <w:pPr>
      <w:tabs>
        <w:tab w:val="center" w:pos="4536"/>
        <w:tab w:val="right" w:pos="9072"/>
      </w:tabs>
    </w:pPr>
  </w:style>
  <w:style w:type="character" w:customStyle="1" w:styleId="PieddepageCar">
    <w:name w:val="Pied de page Car"/>
    <w:basedOn w:val="Policepardfaut"/>
    <w:link w:val="Pieddepage"/>
    <w:uiPriority w:val="99"/>
    <w:rsid w:val="00B62C74"/>
  </w:style>
  <w:style w:type="character" w:styleId="Lienhypertexte">
    <w:name w:val="Hyperlink"/>
    <w:basedOn w:val="Policepardfaut"/>
    <w:uiPriority w:val="99"/>
    <w:unhideWhenUsed/>
    <w:rsid w:val="00B62C74"/>
    <w:rPr>
      <w:color w:val="0563C1" w:themeColor="hyperlink"/>
      <w:u w:val="single"/>
    </w:rPr>
  </w:style>
  <w:style w:type="character" w:customStyle="1" w:styleId="Mentionnonrsolue1">
    <w:name w:val="Mention non résolue1"/>
    <w:basedOn w:val="Policepardfaut"/>
    <w:uiPriority w:val="99"/>
    <w:semiHidden/>
    <w:unhideWhenUsed/>
    <w:rsid w:val="00B62C74"/>
    <w:rPr>
      <w:color w:val="605E5C"/>
      <w:shd w:val="clear" w:color="auto" w:fill="E1DFDD"/>
    </w:rPr>
  </w:style>
  <w:style w:type="paragraph" w:customStyle="1" w:styleId="Aucunstyle">
    <w:name w:val="[Aucun style]"/>
    <w:rsid w:val="00D4363A"/>
    <w:pPr>
      <w:autoSpaceDE w:val="0"/>
      <w:autoSpaceDN w:val="0"/>
      <w:adjustRightInd w:val="0"/>
      <w:spacing w:line="288" w:lineRule="auto"/>
      <w:textAlignment w:val="center"/>
    </w:pPr>
    <w:rPr>
      <w:rFonts w:ascii="MinionPro-Regular" w:hAnsi="MinionPro-Regular" w:cs="MinionPro-Regular"/>
      <w:color w:val="000000"/>
    </w:rPr>
  </w:style>
  <w:style w:type="paragraph" w:styleId="Paragraphedeliste">
    <w:name w:val="List Paragraph"/>
    <w:basedOn w:val="Normal"/>
    <w:uiPriority w:val="34"/>
    <w:qFormat/>
    <w:rsid w:val="00D958AE"/>
    <w:pPr>
      <w:ind w:left="720"/>
      <w:contextualSpacing/>
    </w:pPr>
  </w:style>
  <w:style w:type="paragraph" w:styleId="NormalWeb">
    <w:name w:val="Normal (Web)"/>
    <w:basedOn w:val="Normal"/>
    <w:uiPriority w:val="99"/>
    <w:unhideWhenUsed/>
    <w:rsid w:val="00C84B38"/>
    <w:pPr>
      <w:spacing w:before="100" w:beforeAutospacing="1" w:after="100" w:afterAutospacing="1"/>
    </w:pPr>
    <w:rPr>
      <w:rFonts w:ascii="Times New Roman" w:eastAsia="Times New Roman" w:hAnsi="Times New Roman" w:cs="Times New Roman"/>
      <w:lang w:eastAsia="fr-FR"/>
    </w:rPr>
  </w:style>
  <w:style w:type="paragraph" w:styleId="Textedebulles">
    <w:name w:val="Balloon Text"/>
    <w:basedOn w:val="Normal"/>
    <w:link w:val="TextedebullesCar"/>
    <w:uiPriority w:val="99"/>
    <w:semiHidden/>
    <w:unhideWhenUsed/>
    <w:rsid w:val="00090E1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090E1F"/>
    <w:rPr>
      <w:rFonts w:ascii="Lucida Grande" w:hAnsi="Lucida Grande" w:cs="Lucida Grande"/>
      <w:sz w:val="18"/>
      <w:szCs w:val="18"/>
    </w:rPr>
  </w:style>
  <w:style w:type="paragraph" w:customStyle="1" w:styleId="Converter8">
    <w:name w:val="Converter8"/>
    <w:uiPriority w:val="99"/>
    <w:rsid w:val="00090E1F"/>
    <w:pPr>
      <w:widowControl w:val="0"/>
      <w:autoSpaceDE w:val="0"/>
      <w:autoSpaceDN w:val="0"/>
      <w:adjustRightInd w:val="0"/>
      <w:ind w:left="5402"/>
      <w:jc w:val="both"/>
    </w:pPr>
    <w:rPr>
      <w:rFonts w:ascii="Palatino" w:eastAsiaTheme="minorEastAsia" w:hAnsi="Palatino" w:cs="Palatino"/>
      <w:color w:val="000000"/>
      <w:sz w:val="22"/>
      <w:szCs w:val="22"/>
      <w:lang w:eastAsia="fr-FR"/>
    </w:rPr>
  </w:style>
  <w:style w:type="paragraph" w:customStyle="1" w:styleId="Converter12">
    <w:name w:val="Converter12"/>
    <w:uiPriority w:val="99"/>
    <w:rsid w:val="00090E1F"/>
    <w:pPr>
      <w:widowControl w:val="0"/>
      <w:autoSpaceDE w:val="0"/>
      <w:autoSpaceDN w:val="0"/>
      <w:adjustRightInd w:val="0"/>
      <w:ind w:left="5402"/>
      <w:jc w:val="both"/>
    </w:pPr>
    <w:rPr>
      <w:rFonts w:ascii="Palatino" w:eastAsiaTheme="minorEastAsia" w:hAnsi="Palatino" w:cs="Palatino"/>
      <w:b/>
      <w:bCs/>
      <w:color w:val="000000"/>
      <w:sz w:val="18"/>
      <w:szCs w:val="18"/>
      <w:lang w:eastAsia="fr-FR"/>
    </w:rPr>
  </w:style>
  <w:style w:type="paragraph" w:customStyle="1" w:styleId="Converter13">
    <w:name w:val="Converter13"/>
    <w:uiPriority w:val="99"/>
    <w:rsid w:val="00090E1F"/>
    <w:pPr>
      <w:widowControl w:val="0"/>
      <w:tabs>
        <w:tab w:val="left" w:pos="0"/>
        <w:tab w:val="left" w:pos="5402"/>
      </w:tabs>
      <w:autoSpaceDE w:val="0"/>
      <w:autoSpaceDN w:val="0"/>
      <w:adjustRightInd w:val="0"/>
      <w:jc w:val="both"/>
    </w:pPr>
    <w:rPr>
      <w:rFonts w:ascii="Palatino" w:eastAsiaTheme="minorEastAsia" w:hAnsi="Palatino" w:cs="Palatino"/>
      <w:b/>
      <w:bCs/>
      <w:color w:val="000000"/>
      <w:sz w:val="18"/>
      <w:szCs w:val="18"/>
      <w:lang w:eastAsia="fr-FR"/>
    </w:rPr>
  </w:style>
  <w:style w:type="paragraph" w:customStyle="1" w:styleId="Converter14">
    <w:name w:val="Converter14"/>
    <w:uiPriority w:val="99"/>
    <w:rsid w:val="005E5C69"/>
    <w:pPr>
      <w:widowControl w:val="0"/>
      <w:autoSpaceDE w:val="0"/>
      <w:autoSpaceDN w:val="0"/>
      <w:adjustRightInd w:val="0"/>
      <w:ind w:left="1201" w:right="561"/>
      <w:jc w:val="both"/>
    </w:pPr>
    <w:rPr>
      <w:rFonts w:ascii="Palatino" w:eastAsia="Times New Roman" w:hAnsi="Palatino" w:cs="Palatino"/>
      <w:color w:val="00000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3079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dmj.fr" TargetMode="External"/><Relationship Id="rId13" Type="http://schemas.openxmlformats.org/officeDocument/2006/relationships/hyperlink" Target="https://www.legifrance.gouv.fr/affichCodeArticle.do?cidTexte=LEGITEXT000005634379&amp;idArticle=LEGIARTI000006237060&amp;dateTexte=&amp;categorieLien=cid" TargetMode="External"/><Relationship Id="rId18" Type="http://schemas.openxmlformats.org/officeDocument/2006/relationships/hyperlink" Target="https://www.legifrance.gouv.fr/affichCodeArticle.do?cidTexte=LEGITEXT000005634379&amp;idArticle=LEGIARTI000006236722&amp;dateTexte=&amp;categorieLien=cid"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legifrance.gouv.fr/affichCodeArticle.do?cidTexte=LEGITEXT000006069583&amp;idArticle=LEGIARTI000006315691&amp;dateTexte=&amp;categorieLien=cid" TargetMode="External"/><Relationship Id="rId7" Type="http://schemas.openxmlformats.org/officeDocument/2006/relationships/image" Target="media/image1.png"/><Relationship Id="rId12" Type="http://schemas.openxmlformats.org/officeDocument/2006/relationships/hyperlink" Target="https://www.legifrance.gouv.fr/affichCodeArticle.do?cidTexte=LEGITEXT000006070721&amp;idArticle=LEGIARTI000006448059&amp;dateTexte=&amp;categorieLien=cid" TargetMode="External"/><Relationship Id="rId17" Type="http://schemas.openxmlformats.org/officeDocument/2006/relationships/hyperlink" Target="https://www.legifrance.gouv.fr/affichCodeArticle.do?cidTexte=LEGITEXT000005634379&amp;idArticle=LEGIARTI000006236742&amp;dateTexte=&amp;categorieLien=cid"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egifrance.gouv.fr/affichCodeArticle.do?cidTexte=LEGITEXT000005634379&amp;idArticle=LEGIARTI000006236730&amp;dateTexte=&amp;categorieLien=cid" TargetMode="External"/><Relationship Id="rId20" Type="http://schemas.openxmlformats.org/officeDocument/2006/relationships/hyperlink" Target="https://www.legifrance.gouv.fr/affichCodeArticle.do?cidTexte=LEGITEXT000005634379&amp;idArticle=LEGIARTI000006236907&amp;dateTexte=&amp;categorieLien=cid"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affichCodeArticle.do?cidTexte=LEGITEXT000005634379&amp;idArticle=LEGIARTI000044052591&amp;dateTexte=&amp;categorieLien=id" TargetMode="External"/><Relationship Id="rId24" Type="http://schemas.openxmlformats.org/officeDocument/2006/relationships/hyperlink" Target="https://www.legifrance.gouv.fr/affichCodeArticle.do?cidTexte=LEGITEXT000005634379&amp;idArticle=LEGIARTI000026538083&amp;dateTexte=&amp;categorieLien=cid" TargetMode="External"/><Relationship Id="rId5" Type="http://schemas.openxmlformats.org/officeDocument/2006/relationships/footnotes" Target="footnotes.xml"/><Relationship Id="rId15" Type="http://schemas.openxmlformats.org/officeDocument/2006/relationships/hyperlink" Target="https://www.legifrance.gouv.fr/affichCodeArticle.do?cidTexte=LEGITEXT000005634379&amp;idArticle=LEGIARTI000006236700&amp;dateTexte=&amp;categorieLien=cid" TargetMode="External"/><Relationship Id="rId23" Type="http://schemas.openxmlformats.org/officeDocument/2006/relationships/hyperlink" Target="https://www.legifrance.gouv.fr/affichCodeArticle.do?cidTexte=LEGITEXT000005634379&amp;idArticle=LEGIARTI000006269027&amp;dateTexte=&amp;categorieLien=cid" TargetMode="External"/><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yperlink" Target="https://www.legifrance.gouv.fr/affichCodeArticle.do?cidTexte=LEGITEXT000005634379&amp;idArticle=LEGIARTI000006236744&amp;dateTexte=&amp;categorieLien=cid"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legifrance.gouv.fr/affichCodeArticle.do?cidTexte=LEGITEXT000005634379&amp;idArticle=LEGIARTI000006236627&amp;dateTexte=&amp;categorieLien=cid" TargetMode="External"/><Relationship Id="rId22" Type="http://schemas.openxmlformats.org/officeDocument/2006/relationships/hyperlink" Target="https://www.legifrance.gouv.fr/affichCodeArticle.do?cidTexte=LEGITEXT000005634379&amp;idArticle=LEGIARTI000006268919&amp;dateTexte=&amp;categorieLien=cid"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1413</Words>
  <Characters>7777</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estelle mercier</dc:creator>
  <cp:keywords/>
  <dc:description/>
  <cp:lastModifiedBy>Judith DOUTRESSOULLE</cp:lastModifiedBy>
  <cp:revision>18</cp:revision>
  <cp:lastPrinted>2024-03-19T08:45:00Z</cp:lastPrinted>
  <dcterms:created xsi:type="dcterms:W3CDTF">2024-03-19T13:48:00Z</dcterms:created>
  <dcterms:modified xsi:type="dcterms:W3CDTF">2026-07-06T14:11:00Z</dcterms:modified>
</cp:coreProperties>
</file>